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comments.xml" ContentType="application/vnd.openxmlformats-officedocument.wordprocessingml.comments+xml"/>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theme/theme1.xml" ContentType="application/vnd.openxmlformats-officedocument.theme+xml"/>
  <Override PartName="/word/styles.xml" ContentType="application/vnd.openxmlformats-officedocument.wordprocessingml.styles+xml"/>
  <Override PartName="/customXml/item3.xml" ContentType="application/xml"/>
  <Override PartName="/customXml/item1.xml" ContentType="application/xml"/>
  <Override PartName="/customXml/itemProps2.xml" ContentType="application/vnd.openxmlformats-officedocument.customXmlProperties+xml"/>
  <Override PartName="/customXml/itemProps3.xml" ContentType="application/vnd.openxmlformats-officedocument.customXmlProperties+xml"/>
  <Override PartName="/customXml/item2.xml" ContentType="application/xml"/>
  <Override PartName="/customXml/_rels/item3.xml.rels" ContentType="application/vnd.openxmlformats-package.relationships+xml"/>
  <Override PartName="/customXml/_rels/item2.xml.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57" w:after="57"/>
        <w:jc w:val="center"/>
        <w:rPr>
          <w:rFonts w:ascii="Times New Roman" w:hAnsi="Times New Roman" w:cs="Times New Roman"/>
          <w:sz w:val="22"/>
          <w:szCs w:val="22"/>
        </w:rPr>
      </w:pPr>
      <w:r>
        <w:rPr>
          <w:rFonts w:ascii="Times New Roman" w:hAnsi="Times New Roman"/>
          <w:b/>
          <w:bCs/>
          <w:sz w:val="32"/>
          <w:szCs w:val="32"/>
        </w:rPr>
        <w:t>AU JUGE DES REFERES</w:t>
      </w:r>
    </w:p>
    <w:p>
      <w:pPr>
        <w:pStyle w:val="Normal"/>
        <w:jc w:val="center"/>
        <w:rPr>
          <w:rFonts w:ascii="Times New Roman" w:hAnsi="Times New Roman" w:cs="Times New Roman"/>
          <w:sz w:val="22"/>
          <w:szCs w:val="22"/>
        </w:rPr>
      </w:pPr>
      <w:r>
        <w:rPr>
          <w:rFonts w:ascii="Times New Roman" w:hAnsi="Times New Roman"/>
          <w:b/>
          <w:bCs/>
          <w:sz w:val="32"/>
          <w:szCs w:val="32"/>
        </w:rPr>
        <w:t xml:space="preserve">DU TRIBUNAL ADMINISTRATIF DE </w:t>
      </w:r>
    </w:p>
    <w:p>
      <w:pPr>
        <w:pStyle w:val="Normal"/>
        <w:jc w:val="center"/>
        <w:rPr>
          <w:rFonts w:ascii="Times New Roman" w:hAnsi="Times New Roman" w:cs="Times New Roman"/>
          <w:sz w:val="22"/>
          <w:szCs w:val="22"/>
        </w:rPr>
      </w:pPr>
      <w:r>
        <w:rPr>
          <w:rFonts w:ascii="Times New Roman" w:hAnsi="Times New Roman"/>
          <w:b/>
          <w:bCs/>
          <w:sz w:val="32"/>
          <w:szCs w:val="32"/>
        </w:rPr>
        <w:t xml:space="preserve">REQUETE EN REFERE-SUSPENSION </w:t>
      </w:r>
    </w:p>
    <w:p>
      <w:pPr>
        <w:pStyle w:val="Normal"/>
        <w:jc w:val="center"/>
        <w:rPr>
          <w:rFonts w:ascii="Times New Roman" w:hAnsi="Times New Roman" w:cs="Times New Roman"/>
          <w:sz w:val="22"/>
          <w:szCs w:val="22"/>
        </w:rPr>
      </w:pPr>
      <w:r>
        <w:rPr>
          <w:rFonts w:ascii="Times New Roman" w:hAnsi="Times New Roman"/>
          <w:b/>
          <w:bCs/>
          <w:sz w:val="32"/>
          <w:szCs w:val="32"/>
        </w:rPr>
        <w:t>ARTICLE L. 521-1 DU CODE DE JUSTICE ADMINISTRATIVE</w:t>
      </w:r>
    </w:p>
    <w:p>
      <w:pPr>
        <w:pStyle w:val="Normal"/>
        <w:spacing w:lineRule="atLeast" w:line="200" w:before="57" w:after="57"/>
        <w:ind w:left="567" w:hanging="0"/>
        <w:jc w:val="both"/>
        <w:rPr>
          <w:rFonts w:ascii="Times New Roman" w:hAnsi="Times New Roman" w:cs="Times New Roman"/>
          <w:caps/>
          <w:sz w:val="22"/>
        </w:rPr>
      </w:pPr>
      <w:r>
        <w:rPr>
          <w:rFonts w:cs="Times New Roman" w:ascii="Times New Roman" w:hAnsi="Times New Roman"/>
          <w:caps/>
          <w:sz w:val="22"/>
        </w:rPr>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M.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Né·le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De nationalité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Domicilié chez C</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téléphone </w:t>
      </w:r>
    </w:p>
    <w:p>
      <w:pPr>
        <w:pStyle w:val="Normal"/>
        <w:tabs>
          <w:tab w:val="clear" w:pos="708"/>
          <w:tab w:val="left" w:pos="90" w:leader="none"/>
        </w:tabs>
        <w:spacing w:lineRule="atLeast" w:line="200" w:before="57" w:after="57"/>
        <w:ind w:left="567" w:hanging="0"/>
        <w:jc w:val="both"/>
        <w:rPr>
          <w:rFonts w:ascii="Times New Roman" w:hAnsi="Times New Roman" w:cs="Times New Roman"/>
          <w:sz w:val="22"/>
        </w:rPr>
      </w:pPr>
      <w:r>
        <w:rPr>
          <w:rStyle w:val="LienInternet"/>
          <w:rFonts w:eastAsia="Times New Roman" w:cs="Times New Roman" w:ascii="Times New Roman" w:hAnsi="Times New Roman"/>
          <w:b/>
          <w:bCs/>
          <w:sz w:val="22"/>
        </w:rPr>
        <w:t xml:space="preserve">mail </w:t>
      </w:r>
      <w:bookmarkStart w:id="0" w:name="__DdeLink__674_2196621504"/>
      <w:bookmarkEnd w:id="0"/>
    </w:p>
    <w:p>
      <w:pPr>
        <w:pStyle w:val="Normal"/>
        <w:spacing w:lineRule="atLeast" w:line="200" w:before="57" w:after="57"/>
        <w:ind w:left="567" w:hanging="0"/>
        <w:jc w:val="right"/>
        <w:rPr/>
      </w:pPr>
      <w:r>
        <w:rPr>
          <w:rFonts w:cs="Times New Roman" w:ascii="Times New Roman" w:hAnsi="Times New Roman"/>
          <w:b/>
          <w:sz w:val="22"/>
        </w:rPr>
        <w:t>Requérant·e</w:t>
      </w:r>
    </w:p>
    <w:p>
      <w:pPr>
        <w:pStyle w:val="Normal"/>
        <w:spacing w:lineRule="atLeast" w:line="200" w:before="57" w:after="57"/>
        <w:ind w:left="567" w:hanging="0"/>
        <w:jc w:val="right"/>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both"/>
        <w:rPr>
          <w:rFonts w:ascii="Times New Roman" w:hAnsi="Times New Roman" w:cs="Times New Roman"/>
          <w:b/>
          <w:b/>
          <w:sz w:val="22"/>
        </w:rPr>
      </w:pPr>
      <w:bookmarkStart w:id="1" w:name="__DdeLink__1461_2340154281"/>
      <w:r>
        <w:rPr>
          <w:rFonts w:cs="Times New Roman" w:ascii="Times New Roman" w:hAnsi="Times New Roman"/>
          <w:b/>
          <w:sz w:val="22"/>
        </w:rPr>
        <w:t>Monsieur le directeur général de l'office français de l'immigration et de l'intégration</w:t>
      </w:r>
      <w:bookmarkEnd w:id="1"/>
    </w:p>
    <w:p>
      <w:pPr>
        <w:pStyle w:val="Normal"/>
        <w:spacing w:lineRule="atLeast" w:line="200" w:before="57" w:after="57"/>
        <w:ind w:left="567" w:hanging="0"/>
        <w:jc w:val="both"/>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right"/>
        <w:rPr>
          <w:rFonts w:ascii="Times New Roman" w:hAnsi="Times New Roman" w:cs="Times New Roman"/>
          <w:sz w:val="22"/>
        </w:rPr>
      </w:pPr>
      <w:r>
        <w:rPr>
          <w:rFonts w:cs="Times New Roman" w:ascii="Times New Roman" w:hAnsi="Times New Roman"/>
          <w:b/>
          <w:sz w:val="22"/>
        </w:rPr>
        <w:t>Défendeur</w:t>
      </w:r>
    </w:p>
    <w:p>
      <w:pPr>
        <w:pStyle w:val="Titre1"/>
        <w:numPr>
          <w:ilvl w:val="0"/>
          <w:numId w:val="5"/>
        </w:numPr>
        <w:rPr>
          <w:rFonts w:ascii="Times New Roman" w:hAnsi="Times New Roman" w:cs="Times New Roman"/>
          <w:sz w:val="22"/>
          <w:szCs w:val="22"/>
        </w:rPr>
      </w:pPr>
      <w:r>
        <w:rPr>
          <w:rFonts w:cs="Times New Roman"/>
          <w:sz w:val="22"/>
          <w:szCs w:val="22"/>
        </w:rPr>
        <w:t>Faits et procédure</w:t>
      </w:r>
    </w:p>
    <w:p>
      <w:pPr>
        <w:pStyle w:val="Normal"/>
        <w:spacing w:before="113" w:after="113"/>
        <w:ind w:left="567" w:hanging="0"/>
        <w:jc w:val="both"/>
        <w:rPr>
          <w:rFonts w:ascii="Times New Roman" w:hAnsi="Times New Roman" w:cs="Times New Roman"/>
          <w:sz w:val="22"/>
        </w:rPr>
      </w:pPr>
      <w:r>
        <w:rPr>
          <w:rFonts w:eastAsia="Lucida Sans Unicode" w:cs="Times New Roman" w:ascii="Times New Roman" w:hAnsi="Times New Roman"/>
          <w:sz w:val="22"/>
        </w:rPr>
        <w:t xml:space="preserve">J'ai décidé de formuler une demande d'asile le </w:t>
        <w:tab/>
        <w:tab/>
      </w:r>
    </w:p>
    <w:p>
      <w:pPr>
        <w:pStyle w:val="Normal"/>
        <w:spacing w:before="113" w:after="113"/>
        <w:ind w:left="567" w:hanging="0"/>
        <w:jc w:val="both"/>
        <w:rPr/>
      </w:pPr>
      <w:r>
        <w:rPr>
          <w:rFonts w:eastAsia="Lucida Sans Unicode" w:cs="Times New Roman" w:ascii="Times New Roman" w:hAnsi="Times New Roman"/>
          <w:sz w:val="22"/>
        </w:rPr>
        <w:t xml:space="preserve">Ma demande a été enregistrée le même jour. Il m’a été remis une attestation de demande d’asile procédure normale/procédure accélérée« procédure Dublin » (pièce n°1) </w:t>
      </w:r>
    </w:p>
    <w:p>
      <w:pPr>
        <w:pStyle w:val="Normal"/>
        <w:spacing w:before="113" w:after="113"/>
        <w:ind w:left="567" w:hanging="0"/>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L'office français d'immigration et d'intégration m'a proposé les conditions d'accueil conformément à l'article L. 744-1 du CESEDA, proposition que j'ai acceptée. </w:t>
      </w:r>
    </w:p>
    <w:p>
      <w:pPr>
        <w:pStyle w:val="Normal"/>
        <w:spacing w:before="113" w:after="113"/>
        <w:ind w:left="567" w:hanging="0"/>
        <w:jc w:val="both"/>
        <w:rPr>
          <w:rFonts w:ascii="Times New Roman" w:hAnsi="Times New Roman" w:cs="Times New Roman"/>
          <w:sz w:val="22"/>
        </w:rPr>
      </w:pPr>
      <w:r>
        <w:rPr>
          <w:rFonts w:eastAsia="Lucida Sans Unicode" w:cs="Times New Roman" w:ascii="Times New Roman" w:hAnsi="Times New Roman"/>
          <w:sz w:val="22"/>
        </w:rPr>
        <w:t xml:space="preserve">J’ai bénéficié </w:t>
      </w:r>
      <w:r>
        <w:rPr>
          <w:rFonts w:eastAsia="Lucida Sans Unicode" w:cs="Times New Roman" w:ascii="Times New Roman" w:hAnsi="Times New Roman"/>
          <w:color w:val="FF0000"/>
          <w:sz w:val="22"/>
        </w:rPr>
        <w:t xml:space="preserve">d’une orientation vers le lieu d’hébergement et </w:t>
      </w:r>
      <w:r>
        <w:rPr>
          <w:rFonts w:eastAsia="Lucida Sans Unicode" w:cs="Times New Roman" w:ascii="Times New Roman" w:hAnsi="Times New Roman"/>
          <w:sz w:val="22"/>
        </w:rPr>
        <w:t>de l’allocation pour demandeur d’asile.</w:t>
      </w:r>
    </w:p>
    <w:p>
      <w:pPr>
        <w:pStyle w:val="Normal"/>
        <w:spacing w:before="113" w:after="113"/>
        <w:ind w:left="567" w:hanging="0"/>
        <w:jc w:val="both"/>
        <w:rPr/>
      </w:pPr>
      <w:r>
        <w:rPr>
          <w:rFonts w:eastAsia="Lucida Sans Unicode" w:cs="Times New Roman" w:ascii="Times New Roman" w:hAnsi="Times New Roman"/>
          <w:sz w:val="22"/>
        </w:rPr>
        <w:t>J’ai quitté sans autorisation le lieu ou la région que l’OFII avait déterminé ou je ne me suis pas présenté·e à  x convocation(s) de la préfecture.</w:t>
      </w:r>
    </w:p>
    <w:p>
      <w:pPr>
        <w:pStyle w:val="Normal"/>
        <w:spacing w:before="113" w:after="113"/>
        <w:ind w:left="567" w:hanging="0"/>
        <w:jc w:val="both"/>
        <w:rPr/>
      </w:pPr>
      <w:r>
        <w:rPr>
          <w:rFonts w:eastAsia="Lucida Sans Unicode" w:cs="Times New Roman" w:ascii="Times New Roman" w:hAnsi="Times New Roman"/>
          <w:sz w:val="22"/>
        </w:rPr>
        <w:t xml:space="preserve">L’OFII a suspendu/ refusé :retiré  le bénéfice des conditions d’accueil sur le fondement des articles L.744-7 et L. 744-8 du CESEDA. </w:t>
      </w:r>
    </w:p>
    <w:p>
      <w:pPr>
        <w:pStyle w:val="Normal"/>
        <w:widowControl w:val="false"/>
        <w:bidi w:val="0"/>
        <w:spacing w:before="113" w:after="113"/>
        <w:ind w:left="510" w:right="0" w:hanging="0"/>
        <w:jc w:val="both"/>
        <w:rPr/>
      </w:pPr>
      <w:r>
        <w:rPr>
          <w:rFonts w:eastAsia="Lucida Sans Unicode" w:cs="Times New Roman" w:ascii="Times New Roman" w:hAnsi="Times New Roman"/>
          <w:color w:val="3333CC"/>
          <w:sz w:val="22"/>
        </w:rPr>
        <w:t xml:space="preserve">Jee me suis présenté.e  aux services du préfet qui m’ont délivré une attestation de demande d’asile portant la mention « procédure normale/ procédure accélérée » </w:t>
      </w:r>
    </w:p>
    <w:p>
      <w:pPr>
        <w:pStyle w:val="Normal"/>
        <w:spacing w:before="113" w:after="113"/>
        <w:ind w:left="567" w:hanging="0"/>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Je me suis également présenté à l’OFII pour demander le rétablissement des conditions d’accueil, demande explicité par courrier du </w:t>
        <w:tab/>
        <w:tab/>
      </w:r>
    </w:p>
    <w:p>
      <w:pPr>
        <w:pStyle w:val="Normal"/>
        <w:spacing w:before="113" w:after="113"/>
        <w:ind w:left="567" w:hanging="0"/>
        <w:jc w:val="both"/>
        <w:rPr/>
      </w:pPr>
      <w:r>
        <w:rPr>
          <w:rFonts w:eastAsia="Lucida Sans Unicode" w:cs="Times New Roman" w:ascii="Times New Roman" w:hAnsi="Times New Roman"/>
          <w:sz w:val="22"/>
        </w:rPr>
        <w:t xml:space="preserve"> </w:t>
      </w:r>
      <w:r>
        <w:rPr>
          <w:rFonts w:eastAsia="Lucida Sans Unicode" w:cs="Times New Roman" w:ascii="Times New Roman" w:hAnsi="Times New Roman"/>
          <w:sz w:val="22"/>
        </w:rPr>
        <w:t xml:space="preserve">L’OFII a refusé ce rétablissement. </w:t>
      </w:r>
    </w:p>
    <w:p>
      <w:pPr>
        <w:pStyle w:val="Normal"/>
        <w:spacing w:before="113" w:after="113"/>
        <w:ind w:left="567" w:hanging="0"/>
        <w:jc w:val="both"/>
        <w:rPr>
          <w:rFonts w:ascii="Times New Roman" w:hAnsi="Times New Roman" w:cs="Times New Roman"/>
          <w:sz w:val="22"/>
        </w:rPr>
      </w:pPr>
      <w:r>
        <w:rPr>
          <w:rFonts w:eastAsia="Lucida Sans Unicode" w:cs="Times New Roman" w:ascii="Times New Roman" w:hAnsi="Times New Roman"/>
          <w:kern w:val="2"/>
          <w:sz w:val="22"/>
        </w:rPr>
        <w:t xml:space="preserve">Il est demandé la suspension de la décision de l’OFII. </w:t>
      </w:r>
      <w:r>
        <w:br w:type="page"/>
      </w:r>
    </w:p>
    <w:p>
      <w:pPr>
        <w:pStyle w:val="Normal"/>
        <w:spacing w:before="113" w:after="113"/>
        <w:ind w:left="567" w:hanging="0"/>
        <w:jc w:val="both"/>
        <w:rPr>
          <w:rFonts w:ascii="Times New Roman" w:hAnsi="Times New Roman" w:eastAsia="Lucida Sans Unicode" w:cs="Times New Roman"/>
          <w:kern w:val="2"/>
          <w:sz w:val="22"/>
        </w:rPr>
      </w:pPr>
      <w:r>
        <w:rPr>
          <w:rFonts w:eastAsia="Lucida Sans Unicode" w:cs="Times New Roman" w:ascii="Times New Roman" w:hAnsi="Times New Roman"/>
          <w:kern w:val="2"/>
          <w:sz w:val="22"/>
        </w:rPr>
      </w:r>
    </w:p>
    <w:p>
      <w:pPr>
        <w:pStyle w:val="Titre1"/>
        <w:numPr>
          <w:ilvl w:val="0"/>
          <w:numId w:val="5"/>
        </w:numPr>
        <w:rPr>
          <w:rFonts w:ascii="Times New Roman" w:hAnsi="Times New Roman" w:cs="Times New Roman"/>
          <w:sz w:val="22"/>
          <w:szCs w:val="22"/>
        </w:rPr>
      </w:pPr>
      <w:r>
        <w:rPr/>
        <w:t>DISCUSSION</w:t>
      </w:r>
    </w:p>
    <w:p>
      <w:pPr>
        <w:pStyle w:val="Titre2"/>
        <w:numPr>
          <w:ilvl w:val="1"/>
          <w:numId w:val="5"/>
        </w:numPr>
        <w:rPr>
          <w:rFonts w:ascii="Times New Roman" w:hAnsi="Times New Roman" w:cs="Times New Roman"/>
          <w:sz w:val="22"/>
          <w:szCs w:val="22"/>
        </w:rPr>
      </w:pPr>
      <w:r>
        <w:rPr/>
        <w:t>Sur la recevabilité</w:t>
      </w:r>
    </w:p>
    <w:p>
      <w:pPr>
        <w:pStyle w:val="Normal"/>
        <w:ind w:left="567" w:hanging="0"/>
        <w:rPr>
          <w:rFonts w:ascii="Times New Roman" w:hAnsi="Times New Roman" w:cs="Times New Roman"/>
          <w:sz w:val="22"/>
        </w:rPr>
      </w:pPr>
      <w:r>
        <w:rPr>
          <w:rFonts w:cs="Times New Roman" w:ascii="Times New Roman" w:hAnsi="Times New Roman"/>
          <w:sz w:val="22"/>
        </w:rPr>
        <w:t>L’article R. 312-1 du code de justice administrative prévoit que</w:t>
      </w:r>
    </w:p>
    <w:p>
      <w:pPr>
        <w:pStyle w:val="Citations"/>
        <w:rPr>
          <w:rFonts w:cs="Times New Roman"/>
        </w:rPr>
      </w:pPr>
      <w:r>
        <w:rPr>
          <w:rFonts w:cs="Times New Roman"/>
        </w:rPr>
        <w:t>Lorsqu'il n'en est pas disposé autrement par les dispositions de la section 2 du présent chapitre ou par un texte spécial, le tribunal administratif territorialement compétent est celui dans le ressort duquel a légalement son siège l'autorité qui, soit en vertu de son pouvoir propre, soit par délégation, a pris la décision attaquée . Lorsque l'acte a été signé par plusieurs autorités, le tribunal administratif compétent est celui dans le ressort duquel a son siège la première des autorités dénommées dans cet acte.</w:t>
      </w:r>
    </w:p>
    <w:p>
      <w:pPr>
        <w:pStyle w:val="Citations"/>
        <w:rPr/>
      </w:pPr>
      <w:r>
        <w:rPr>
          <w:rFonts w:cs="Times New Roman"/>
          <w:i w:val="false"/>
          <w:iCs w:val="false"/>
        </w:rPr>
        <w:t>La décision de refus initiale des conditions d’accueil ayant été prise par la dire</w:t>
      </w:r>
      <w:r>
        <w:rPr>
          <w:rFonts w:cs="Times New Roman"/>
          <w:i w:val="false"/>
          <w:iCs w:val="false"/>
        </w:rPr>
        <w:t>ction</w:t>
      </w:r>
      <w:r>
        <w:rPr>
          <w:rFonts w:cs="Times New Roman"/>
          <w:i w:val="false"/>
          <w:iCs w:val="false"/>
        </w:rPr>
        <w:t xml:space="preserve"> territoriale de </w:t>
        <w:tab/>
        <w:tab/>
        <w:t xml:space="preserve">, le tribunal administratif de </w:t>
        <w:tab/>
        <w:tab/>
        <w:t xml:space="preserve"> est donc compétent pour connaître des litiges relatifs aux refus des conditions matérielles d’accueil, nonobstant le recours administratif obligatoire</w:t>
      </w:r>
    </w:p>
    <w:p>
      <w:pPr>
        <w:pStyle w:val="Citations"/>
        <w:rPr/>
      </w:pPr>
      <w:r>
        <w:rPr>
          <w:rFonts w:cs="Times New Roman"/>
          <w:i w:val="false"/>
          <w:iCs w:val="false"/>
        </w:rPr>
        <w:t xml:space="preserve">La présente requête qui est formulée en même temps  qu’un recours en annulation,  est donc recevable. </w:t>
      </w:r>
    </w:p>
    <w:p>
      <w:pPr>
        <w:pStyle w:val="Titre2"/>
        <w:rPr/>
      </w:pPr>
      <w:r>
        <w:rPr/>
        <w:t xml:space="preserve">sur l’urgence </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t>En l’état, ma situation  remplit les conditions d’urgence définies à l'article L.521-1 du CJA:</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La privation des mesures prévues par la loi visant à assurer des conditions matérielles d’accueil constitue une urgence au sens de l’article L.521-1 du Code de justice administrative l, </w:t>
      </w:r>
      <w:r>
        <w:rPr>
          <w:rFonts w:cs="Times New Roman" w:ascii="Times New Roman" w:hAnsi="Times New Roman"/>
          <w:b/>
          <w:sz w:val="22"/>
        </w:rPr>
        <w:t>(cf. CE, référés, 27 septembre 2018, n+°424180).</w:t>
      </w:r>
    </w:p>
    <w:p>
      <w:pPr>
        <w:pStyle w:val="WWStandard"/>
        <w:spacing w:lineRule="atLeast" w:line="200" w:before="57" w:after="57"/>
        <w:ind w:left="567" w:hanging="0"/>
        <w:jc w:val="both"/>
        <w:rPr/>
      </w:pPr>
      <w:r>
        <w:rPr>
          <w:rFonts w:cs="Times New Roman" w:ascii="Times New Roman" w:hAnsi="Times New Roman"/>
          <w:sz w:val="22"/>
          <w:szCs w:val="22"/>
        </w:rPr>
        <w:t>Depuis le</w:t>
        <w:tab/>
        <w:tab/>
        <w:t xml:space="preserve">201 , , je suis privé·e des conditions matérielles d’accueil, à savoir de l’hébergement et du bénéfice de l’allocation pour demandeur d’asile d’un montant de </w:t>
        <w:tab/>
        <w:tab/>
        <w:t xml:space="preserve"> par jour. (cf. CE, 9 juillet 2019, n° </w:t>
      </w:r>
      <w:r>
        <w:rPr>
          <w:rStyle w:val="Strong"/>
          <w:rFonts w:eastAsia="" w:cs="Times New Roman" w:ascii="Times New Roman" w:hAnsi="Times New Roman" w:eastAsiaTheme="majorEastAsia"/>
          <w:sz w:val="22"/>
          <w:szCs w:val="22"/>
        </w:rPr>
        <w:t>431695 et JRTA Nantes, 6 mai 2019, n°</w:t>
      </w:r>
      <w:r>
        <w:rPr>
          <w:rFonts w:cs="Times New Roman" w:ascii="Times New Roman" w:hAnsi="Times New Roman"/>
          <w:sz w:val="22"/>
          <w:szCs w:val="22"/>
        </w:rPr>
        <w:t>1903620)</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t>La décision de l'OFII me place immédiatement dans une situation incompatible avec l’autonomie et la dignité qui doit être assurée pour les demandeurs d’asile.(cf. CJUE, 27 septembre 2012, Cimade et Gisti, C-179/11, §42)</w:t>
      </w:r>
    </w:p>
    <w:p>
      <w:pPr>
        <w:pStyle w:val="WWStandard"/>
        <w:spacing w:lineRule="atLeast" w:line="200" w:before="57" w:after="57"/>
        <w:ind w:left="567" w:hanging="0"/>
        <w:jc w:val="both"/>
        <w:rPr/>
      </w:pPr>
      <w:r>
        <w:rPr>
          <w:rFonts w:cs="Times New Roman" w:ascii="Times New Roman" w:hAnsi="Times New Roman"/>
          <w:sz w:val="22"/>
          <w:szCs w:val="22"/>
        </w:rPr>
        <w:t>L’urgence est donc constituée.</w:t>
      </w:r>
      <w:r>
        <w:br w:type="page"/>
      </w:r>
    </w:p>
    <w:p>
      <w:pPr>
        <w:pStyle w:val="WWStandard"/>
        <w:spacing w:lineRule="atLeast" w:line="200" w:before="57" w:after="57"/>
        <w:ind w:left="567" w:hanging="0"/>
        <w:jc w:val="both"/>
        <w:rPr>
          <w:rFonts w:ascii="Times New Roman" w:hAnsi="Times New Roman" w:cs="Times New Roman"/>
          <w:sz w:val="22"/>
          <w:szCs w:val="22"/>
        </w:rPr>
      </w:pPr>
      <w:r>
        <w:rPr/>
      </w:r>
    </w:p>
    <w:p>
      <w:pPr>
        <w:pStyle w:val="Titre2"/>
        <w:rPr/>
      </w:pPr>
      <w:r>
        <w:rPr/>
        <w:t>SUR LE DOUTE SÉRIEUX QUANTA LÉGALITÉ DE LA DÉCISION DE l'OFII</w:t>
      </w:r>
    </w:p>
    <w:p>
      <w:pPr>
        <w:pStyle w:val="Titre3"/>
        <w:rPr/>
      </w:pPr>
      <w:r>
        <w:rPr/>
        <w:t>Sur la légalité externe</w:t>
      </w:r>
    </w:p>
    <w:p>
      <w:pPr>
        <w:pStyle w:val="Titre4"/>
        <w:numPr>
          <w:ilvl w:val="0"/>
          <w:numId w:val="7"/>
        </w:numPr>
        <w:rPr/>
      </w:pPr>
      <w:r>
        <w:rPr/>
        <w:t>Incompétence du signataire</w:t>
      </w:r>
    </w:p>
    <w:p>
      <w:pPr>
        <w:pStyle w:val="Normal"/>
        <w:jc w:val="both"/>
        <w:rPr/>
      </w:pPr>
      <w:r>
        <w:rPr>
          <w:rFonts w:cs="Times New Roman" w:ascii="Times New Roman" w:hAnsi="Times New Roman"/>
          <w:sz w:val="22"/>
        </w:rPr>
        <w:t>Les dispositions de l’article  R5223-21 du code du travail prévoient que « Le directeur général peut déléguer sa signature à tout agent de l'établissement exerçant des fonctions d'encadrement. »</w:t>
      </w:r>
    </w:p>
    <w:p>
      <w:pPr>
        <w:pStyle w:val="Normal"/>
        <w:jc w:val="both"/>
        <w:rPr/>
      </w:pPr>
      <w:r>
        <w:rPr>
          <w:rFonts w:cs="Times New Roman" w:ascii="Times New Roman" w:hAnsi="Times New Roman"/>
          <w:sz w:val="22"/>
        </w:rPr>
        <w:t>Or il ne ressort pas d’une décision régulièrement publiée que le signataire a reçu délégation de signature du directeur général pour statuer sur les demandes de rétablissement.</w:t>
      </w:r>
    </w:p>
    <w:p>
      <w:pPr>
        <w:pStyle w:val="Titre4"/>
        <w:rPr/>
      </w:pPr>
      <w:r>
        <w:rPr/>
        <w:t>Motivation insuffisante</w:t>
      </w:r>
    </w:p>
    <w:p>
      <w:pPr>
        <w:pStyle w:val="Normal"/>
        <w:jc w:val="both"/>
        <w:rPr/>
      </w:pPr>
      <w:r>
        <w:rPr>
          <w:rFonts w:cs="Times New Roman" w:ascii="Times New Roman" w:hAnsi="Times New Roman"/>
          <w:sz w:val="22"/>
        </w:rPr>
        <w:t xml:space="preserve">La décision de refus de rétablissement des conditions d’accueil est insuffisamment motivée puisqu’elle se borne à indiquer que je ne suis pas vulnérable et que je ne justifie pas d’un motif légitime pour l’abandon ou l’absence.                                                            </w:t>
      </w:r>
    </w:p>
    <w:p>
      <w:pPr>
        <w:pStyle w:val="Normal"/>
        <w:rPr>
          <w:rFonts w:ascii="Times New Roman" w:hAnsi="Times New Roman" w:cs="Times New Roman"/>
          <w:sz w:val="22"/>
        </w:rPr>
      </w:pPr>
      <w:r>
        <w:rPr>
          <w:rFonts w:cs="Times New Roman" w:ascii="Times New Roman" w:hAnsi="Times New Roman"/>
          <w:sz w:val="22"/>
        </w:rPr>
      </w:r>
    </w:p>
    <w:p>
      <w:pPr>
        <w:pStyle w:val="Titre4"/>
        <w:rPr/>
      </w:pPr>
      <w:r>
        <w:rPr/>
        <w:t>Absence d’examen individuel</w:t>
      </w:r>
    </w:p>
    <w:p>
      <w:pPr>
        <w:pStyle w:val="Corpsdetexte"/>
        <w:rPr>
          <w:rFonts w:ascii="Times New Roman" w:hAnsi="Times New Roman"/>
        </w:rPr>
      </w:pPr>
      <w:r>
        <w:rPr>
          <w:rFonts w:ascii="Times New Roman" w:hAnsi="Times New Roman"/>
        </w:rPr>
        <w:t>La décision a été prise sans procéder à un examen individuel de ma situation.</w:t>
      </w:r>
    </w:p>
    <w:p>
      <w:pPr>
        <w:pStyle w:val="Normal"/>
        <w:rPr>
          <w:rFonts w:ascii="Times New Roman" w:hAnsi="Times New Roman" w:cs="Times New Roman"/>
          <w:sz w:val="22"/>
        </w:rPr>
      </w:pPr>
      <w:r>
        <w:rPr>
          <w:rFonts w:cs="Times New Roman" w:ascii="Times New Roman" w:hAnsi="Times New Roman"/>
          <w:sz w:val="22"/>
        </w:rPr>
      </w:r>
    </w:p>
    <w:p>
      <w:pPr>
        <w:pStyle w:val="Titre2"/>
        <w:rPr/>
      </w:pPr>
      <w:r>
        <w:rPr/>
        <w:t>Sur la légalité interne</w:t>
      </w:r>
    </w:p>
    <w:p>
      <w:pPr>
        <w:pStyle w:val="Normal"/>
        <w:rPr/>
      </w:pPr>
      <w:r>
        <w:rPr/>
      </w:r>
    </w:p>
    <w:p>
      <w:pPr>
        <w:pStyle w:val="Titre3"/>
        <w:rPr/>
      </w:pPr>
      <w:r>
        <w:rPr/>
        <w:t xml:space="preserve"> </w:t>
      </w:r>
      <w:r>
        <w:rPr/>
        <w:t>sur les dispositions de l’article 20 de la directive 2013/33/UE</w:t>
      </w:r>
    </w:p>
    <w:p>
      <w:pPr>
        <w:pStyle w:val="Corpsdetexte"/>
        <w:jc w:val="both"/>
        <w:rPr/>
      </w:pPr>
      <w:r>
        <w:rPr>
          <w:rFonts w:cs="Times New Roman" w:ascii="Times New Roman" w:hAnsi="Times New Roman"/>
          <w:sz w:val="22"/>
        </w:rPr>
        <w:t>l’article 20§1 de la directive 2013/33UE prévoit que :</w:t>
      </w:r>
    </w:p>
    <w:p>
      <w:pPr>
        <w:pStyle w:val="Citations"/>
        <w:spacing w:before="0" w:after="0"/>
        <w:rPr/>
      </w:pPr>
      <w:r>
        <w:rPr/>
        <w:t>Les États membres peuvent limiter ou, dans des cas exceptionnels et dûment justifiés, retirer le bénéfice des conditions matérielles d’accueil lorsqu’un demandeur:</w:t>
      </w:r>
    </w:p>
    <w:tbl>
      <w:tblPr>
        <w:tblW w:w="5000" w:type="pct"/>
        <w:jc w:val="left"/>
        <w:tblInd w:w="0" w:type="dxa"/>
        <w:tblCellMar>
          <w:top w:w="0" w:type="dxa"/>
          <w:left w:w="0" w:type="dxa"/>
          <w:bottom w:w="0" w:type="dxa"/>
          <w:right w:w="0" w:type="dxa"/>
        </w:tblCellMar>
      </w:tblPr>
      <w:tblGrid>
        <w:gridCol w:w="836"/>
        <w:gridCol w:w="75"/>
        <w:gridCol w:w="32"/>
        <w:gridCol w:w="8204"/>
      </w:tblGrid>
      <w:tr>
        <w:trPr/>
        <w:tc>
          <w:tcPr>
            <w:tcW w:w="943" w:type="dxa"/>
            <w:gridSpan w:val="3"/>
            <w:tcBorders/>
            <w:shd w:fill="auto" w:val="clear"/>
          </w:tcPr>
          <w:p>
            <w:pPr>
              <w:pStyle w:val="Citations"/>
              <w:spacing w:before="0" w:after="0"/>
              <w:rPr/>
            </w:pPr>
            <w:r>
              <w:rPr/>
              <w:t>a)</w:t>
            </w:r>
          </w:p>
        </w:tc>
        <w:tc>
          <w:tcPr>
            <w:tcW w:w="8204" w:type="dxa"/>
            <w:tcBorders/>
            <w:shd w:fill="auto" w:val="clear"/>
          </w:tcPr>
          <w:p>
            <w:pPr>
              <w:pStyle w:val="Citations"/>
              <w:spacing w:before="0" w:after="0"/>
              <w:rPr/>
            </w:pPr>
            <w:r>
              <w:rPr/>
              <w:t>abandonne le lieu de résidence fixé par l’autorité compétente sans en avoir informé ladite autorité ou, si une autorisation est nécessaire à cet effet, sans l’avoir obtenue; ou</w:t>
            </w:r>
          </w:p>
        </w:tc>
      </w:tr>
      <w:tr>
        <w:trPr/>
        <w:tc>
          <w:tcPr>
            <w:tcW w:w="911" w:type="dxa"/>
            <w:gridSpan w:val="2"/>
            <w:tcBorders/>
            <w:shd w:fill="auto" w:val="clear"/>
          </w:tcPr>
          <w:p>
            <w:pPr>
              <w:pStyle w:val="Citations"/>
              <w:spacing w:before="0" w:after="0"/>
              <w:rPr/>
            </w:pPr>
            <w:r>
              <w:rPr/>
              <w:t>b)</w:t>
            </w:r>
          </w:p>
        </w:tc>
        <w:tc>
          <w:tcPr>
            <w:tcW w:w="8236" w:type="dxa"/>
            <w:gridSpan w:val="2"/>
            <w:tcBorders/>
            <w:shd w:fill="auto" w:val="clear"/>
          </w:tcPr>
          <w:p>
            <w:pPr>
              <w:pStyle w:val="Citations"/>
              <w:spacing w:before="0" w:after="0"/>
              <w:rPr/>
            </w:pPr>
            <w:r>
              <w:rPr/>
              <w:t>ne respecte pas l’obligation de se présenter aux autorités, ne répond pas aux demandes d’information ou ne se rend pas aux entretiens personnels concernant la procédure d’asile dans un délai raisonnable fixé par le droit national; ou</w:t>
            </w:r>
          </w:p>
        </w:tc>
      </w:tr>
      <w:tr>
        <w:trPr/>
        <w:tc>
          <w:tcPr>
            <w:tcW w:w="836" w:type="dxa"/>
            <w:tcBorders/>
            <w:shd w:fill="auto" w:val="clear"/>
          </w:tcPr>
          <w:p>
            <w:pPr>
              <w:pStyle w:val="Citations"/>
              <w:spacing w:before="0" w:after="0"/>
              <w:rPr/>
            </w:pPr>
            <w:r>
              <w:rPr/>
              <w:t>c)</w:t>
            </w:r>
          </w:p>
        </w:tc>
        <w:tc>
          <w:tcPr>
            <w:tcW w:w="8311" w:type="dxa"/>
            <w:gridSpan w:val="3"/>
            <w:tcBorders/>
            <w:shd w:fill="auto" w:val="clear"/>
          </w:tcPr>
          <w:p>
            <w:pPr>
              <w:pStyle w:val="Citations"/>
              <w:spacing w:before="0" w:after="0"/>
              <w:rPr/>
            </w:pPr>
            <w:r>
              <w:rPr/>
              <w:t>a introduit une demande ultérieure telle que définie à l’article 2, point q), de la directive 2013/32/UE.</w:t>
            </w:r>
          </w:p>
        </w:tc>
      </w:tr>
    </w:tbl>
    <w:p>
      <w:pPr>
        <w:pStyle w:val="Citations"/>
        <w:spacing w:before="0" w:after="0"/>
        <w:rPr/>
      </w:pPr>
      <w:r>
        <w:rPr/>
        <w:t>En ce qui concerne les cas visés aux points a) et b), lorsque le demandeur est retrouvé ou se présente volontairement aux autorités compétentes, une décision dûment motivée, fondée sur les raisons de sa disparition, est prise quant au rétablissement du bénéfice de certaines ou de l’ensemble des conditions matérielles d’accueil retirées ou réduites.</w:t>
      </w:r>
    </w:p>
    <w:p>
      <w:pPr>
        <w:pStyle w:val="Corpsdetexte"/>
        <w:jc w:val="both"/>
        <w:rPr>
          <w:rFonts w:ascii="Times New Roman" w:hAnsi="Times New Roman" w:cs="Times New Roman"/>
          <w:sz w:val="22"/>
        </w:rPr>
      </w:pPr>
      <w:r>
        <w:rPr>
          <w:rFonts w:cs="Times New Roman" w:ascii="Times New Roman" w:hAnsi="Times New Roman"/>
          <w:sz w:val="22"/>
        </w:rPr>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Il ressort clairement de ces dispositions qu’un Etat-membre peut en principe  limiter (c’est à dire réduire) et par exception retirer  le bénéfice des conditions d’accueil mais qu’il doit statuer quant au rétablissement de certaines ou de l’ensemble des conditions matérielles d’accueil retirées ou réduites</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et le paragraphe 5 du même article prévoit que</w:t>
      </w:r>
    </w:p>
    <w:p>
      <w:pPr>
        <w:pStyle w:val="Citations"/>
        <w:rPr/>
      </w:pPr>
      <w:r>
        <w:rPr/>
        <w:t xml:space="preserve">5.   Les décisions portant limitation ou retrait du bénéfice des conditions matérielles d’accueil ou les sanctions visées aux paragraphes 1, 2, 3 et 4 du présent article sont prises au cas par cas, objectivement et impartialement et sont motivées. Elles sont fondées sur la situation particulière de la personne concernée, en particulier dans le cas des personnes visées à l’article 21, compte tenu du principe de proportionnalité. </w:t>
      </w:r>
      <w:r>
        <w:rPr>
          <w:u w:val="single"/>
        </w:rPr>
        <w:t xml:space="preserve">Les États membres assurent en toutes circonstances l’accès aux soins médicaux conformément à l’article 19 et garantissent un niveau de vie digne à tous les demandeurs. </w:t>
      </w:r>
    </w:p>
    <w:p>
      <w:pPr>
        <w:pStyle w:val="Normal"/>
        <w:spacing w:lineRule="atLeast" w:line="200" w:before="0" w:after="57"/>
        <w:jc w:val="both"/>
        <w:rPr>
          <w:rFonts w:ascii="Times New Roman" w:hAnsi="Times New Roman"/>
        </w:rPr>
      </w:pPr>
      <w:r>
        <w:rPr>
          <w:rFonts w:eastAsia="Garamond" w:cs="Garamond" w:ascii="Times New Roman" w:hAnsi="Times New Roman"/>
          <w:sz w:val="24"/>
          <w:szCs w:val="24"/>
          <w:lang w:val="fr-FR"/>
        </w:rPr>
        <w:t xml:space="preserve">La Cour de Justice de l’Union européenne </w:t>
      </w:r>
      <w:r>
        <w:rPr>
          <w:rFonts w:eastAsia="Garamond" w:cs="Garamond" w:ascii="Times New Roman" w:hAnsi="Times New Roman"/>
          <w:sz w:val="24"/>
          <w:szCs w:val="24"/>
          <w:lang w:val="fr-FR"/>
        </w:rPr>
        <w:t>a, dans ses arrêts Cimade-Gisti (c-179/11), Saciri (C-79/13), Jawo (</w:t>
      </w:r>
      <w:r>
        <w:rPr>
          <w:rFonts w:eastAsia="Garamond" w:cs="Garamond" w:ascii="Times New Roman" w:hAnsi="Times New Roman"/>
          <w:b w:val="false"/>
          <w:i w:val="false"/>
          <w:caps w:val="false"/>
          <w:smallCaps w:val="false"/>
          <w:color w:val="000000"/>
          <w:spacing w:val="0"/>
          <w:sz w:val="24"/>
          <w:szCs w:val="24"/>
          <w:lang w:val="fr-FR"/>
        </w:rPr>
        <w:t>C</w:t>
        <w:noBreakHyphen/>
        <w:t>163/17</w:t>
      </w:r>
      <w:r>
        <w:rPr>
          <w:rFonts w:eastAsia="Garamond" w:cs="Garamond" w:ascii="Times New Roman" w:hAnsi="Times New Roman"/>
          <w:sz w:val="24"/>
          <w:szCs w:val="24"/>
          <w:lang w:val="fr-FR"/>
        </w:rPr>
        <w:t>) et Haqbin (C-233/18), dit pour droit que les directives accueil devaient être lues à la lumière de l’article 1</w:t>
      </w:r>
      <w:r>
        <w:rPr>
          <w:rFonts w:eastAsia="Garamond" w:cs="Garamond" w:ascii="Times New Roman" w:hAnsi="Times New Roman"/>
          <w:sz w:val="24"/>
          <w:szCs w:val="24"/>
          <w:vertAlign w:val="superscript"/>
          <w:lang w:val="fr-FR"/>
        </w:rPr>
        <w:t>er</w:t>
      </w:r>
      <w:r>
        <w:rPr>
          <w:rFonts w:eastAsia="Garamond" w:cs="Garamond" w:ascii="Times New Roman" w:hAnsi="Times New Roman"/>
          <w:sz w:val="24"/>
          <w:szCs w:val="24"/>
          <w:lang w:val="fr-FR"/>
        </w:rPr>
        <w:t xml:space="preserve"> de la Charte des droits fondamentaux de l’Union qui pose le principe de dignité et que les Etats-membres doivent fournir des conditions d’accueil permettant aux personnes de mener une vie digne.</w:t>
      </w:r>
    </w:p>
    <w:p>
      <w:pPr>
        <w:pStyle w:val="Citations"/>
        <w:rPr>
          <w:rFonts w:ascii="Times New Roman" w:hAnsi="Times New Roman"/>
        </w:rPr>
      </w:pPr>
      <w:bookmarkStart w:id="2" w:name="point46"/>
      <w:bookmarkEnd w:id="2"/>
      <w:r>
        <w:rPr>
          <w:rFonts w:eastAsia="Garamond" w:cs="Garamond" w:ascii="Times New Roman" w:hAnsi="Times New Roman"/>
          <w:strike w:val="false"/>
          <w:dstrike w:val="false"/>
          <w:color w:val="006699"/>
          <w:u w:val="none"/>
          <w:effect w:val="none"/>
          <w:lang w:val="fr-FR"/>
        </w:rPr>
        <w:t>46</w:t>
      </w:r>
      <w:r>
        <w:rPr>
          <w:rFonts w:eastAsia="Garamond" w:cs="Garamond" w:ascii="Times New Roman" w:hAnsi="Times New Roman"/>
          <w:lang w:val="fr-FR"/>
        </w:rPr>
        <w:t>      S’agissant plus particulièrement de l’exigence relative à la préservation de la dignité du niveau de vie, il ressort du considérant 35 de la directive 2013/33 que cette dernière vise à garantir le plein respect de la dignité humaine et à favoriser l’application, notamment, de l’article 1</w:t>
      </w:r>
      <w:r>
        <w:rPr>
          <w:rFonts w:eastAsia="Garamond" w:cs="Garamond" w:ascii="Times New Roman" w:hAnsi="Times New Roman"/>
          <w:position w:val="8"/>
          <w:sz w:val="19"/>
          <w:lang w:val="fr-FR"/>
        </w:rPr>
        <w:t>er </w:t>
      </w:r>
      <w:r>
        <w:rPr>
          <w:rFonts w:eastAsia="Garamond" w:cs="Garamond" w:ascii="Times New Roman" w:hAnsi="Times New Roman"/>
          <w:lang w:val="fr-FR"/>
        </w:rPr>
        <w:t>de la charte des droits fondamentaux et doit être mise en œuvre en conséquence. À cet égard, le respect de la dignité humaine, au sens de cet article, exige que la personne concernée ne se trouve pas dans une situation de dénuement matériel extrême qui ne lui permettrait pas de faire face à ses besoins les plus élémentaires, tels que ceux de se loger, de se nourrir, de se vêtir et de se laver, et qui porterait ainsi atteinte à sa santé physique ou mentale ou la mettrait dans un état de dégradation incompatible avec cette dignité (voir, en ce sens, arrêt du 19 mars 2019, Jawo, C</w:t>
        <w:noBreakHyphen/>
        <w:t>163/17, EU:C:2019:218, point 92 et jurisprudence citée).</w:t>
      </w:r>
    </w:p>
    <w:p>
      <w:pPr>
        <w:pStyle w:val="Citations"/>
        <w:widowControl w:val="false"/>
        <w:bidi w:val="0"/>
        <w:spacing w:before="0" w:after="283"/>
        <w:ind w:left="57" w:right="567" w:hanging="0"/>
        <w:jc w:val="both"/>
        <w:rPr>
          <w:rFonts w:ascii="Times New Roman" w:hAnsi="Times New Roman"/>
        </w:rPr>
      </w:pPr>
      <w:r>
        <w:rPr>
          <w:rFonts w:ascii="Times New Roman" w:hAnsi="Times New Roman"/>
          <w:i w:val="false"/>
          <w:iCs w:val="false"/>
          <w:sz w:val="24"/>
          <w:szCs w:val="24"/>
        </w:rPr>
        <w:t xml:space="preserve">La </w:t>
      </w:r>
      <w:r>
        <w:rPr>
          <w:rFonts w:ascii="Times New Roman" w:hAnsi="Times New Roman"/>
          <w:i w:val="false"/>
          <w:iCs w:val="false"/>
          <w:sz w:val="24"/>
          <w:szCs w:val="24"/>
        </w:rPr>
        <w:t>C</w:t>
      </w:r>
      <w:r>
        <w:rPr>
          <w:rFonts w:ascii="Times New Roman" w:hAnsi="Times New Roman"/>
          <w:i w:val="false"/>
          <w:iCs w:val="false"/>
          <w:sz w:val="24"/>
          <w:szCs w:val="24"/>
        </w:rPr>
        <w:t>our européenne des droits de l’Homme dans le récent arrêt N.H et autres contre France arrive à la même conclusion au regard de l’article 3 de la CEDH en considérant que :</w:t>
      </w:r>
    </w:p>
    <w:p>
      <w:pPr>
        <w:pStyle w:val="Citations"/>
        <w:rPr/>
      </w:pPr>
      <w:r>
        <w:rPr>
          <w:rFonts w:ascii="Times New Roman" w:hAnsi="Times New Roman"/>
          <w:b w:val="false"/>
          <w:i/>
          <w:iCs/>
          <w:caps w:val="false"/>
          <w:smallCaps w:val="false"/>
          <w:color w:val="000000"/>
          <w:spacing w:val="0"/>
          <w:sz w:val="22"/>
          <w:szCs w:val="22"/>
        </w:rPr>
        <w:t>160.  La Cour estime nécessaire de rappeler que l’article 3 ne saurait être interprété comme obligeant les Hautes Parties contractantes à garantir un droit au logement à toute personne relevant de leur juridiction (Chapman c. Royaume-Uni [GC], no </w:t>
      </w:r>
      <w:hyperlink r:id="rId2">
        <w:r>
          <w:rPr>
            <w:rStyle w:val="LienInternet"/>
            <w:rFonts w:ascii="Times New Roman" w:hAnsi="Times New Roman"/>
            <w:b w:val="false"/>
            <w:i/>
            <w:iCs/>
            <w:caps w:val="false"/>
            <w:smallCaps w:val="false"/>
            <w:color w:val="0069D6"/>
            <w:spacing w:val="0"/>
            <w:sz w:val="22"/>
            <w:szCs w:val="22"/>
            <w:u w:val="single"/>
          </w:rPr>
          <w:t>27238/95</w:t>
        </w:r>
      </w:hyperlink>
      <w:r>
        <w:rPr>
          <w:rFonts w:ascii="Times New Roman" w:hAnsi="Times New Roman"/>
          <w:b w:val="false"/>
          <w:i/>
          <w:iCs/>
          <w:caps w:val="false"/>
          <w:smallCaps w:val="false"/>
          <w:color w:val="000000"/>
          <w:spacing w:val="0"/>
          <w:sz w:val="22"/>
          <w:szCs w:val="22"/>
        </w:rPr>
        <w:t>, § 99, CEDH 2001</w:t>
        <w:noBreakHyphen/>
        <w:t>I). Il ne saurait non plus être tiré de l’article 3 un devoir général de fournir aux réfugiés une assistance financière pour que ceux-ci puissent maintenir un certain niveau de vie (Müslim c. Turquie, no </w:t>
      </w:r>
      <w:hyperlink r:id="rId3">
        <w:r>
          <w:rPr>
            <w:rStyle w:val="LienInternet"/>
            <w:rFonts w:ascii="Times New Roman" w:hAnsi="Times New Roman"/>
            <w:b w:val="false"/>
            <w:i/>
            <w:iCs/>
            <w:caps w:val="false"/>
            <w:smallCaps w:val="false"/>
            <w:color w:val="0069D6"/>
            <w:spacing w:val="0"/>
            <w:sz w:val="22"/>
            <w:szCs w:val="22"/>
            <w:u w:val="single"/>
          </w:rPr>
          <w:t>53566/99</w:t>
        </w:r>
      </w:hyperlink>
      <w:r>
        <w:rPr>
          <w:rFonts w:ascii="Times New Roman" w:hAnsi="Times New Roman"/>
          <w:b w:val="false"/>
          <w:i/>
          <w:iCs/>
          <w:caps w:val="false"/>
          <w:smallCaps w:val="false"/>
          <w:color w:val="000000"/>
          <w:spacing w:val="0"/>
          <w:sz w:val="22"/>
          <w:szCs w:val="22"/>
        </w:rPr>
        <w:t>, § 85, 26 avril 2005).</w:t>
      </w:r>
    </w:p>
    <w:p>
      <w:pPr>
        <w:pStyle w:val="Citations"/>
        <w:rPr>
          <w:rFonts w:ascii="Times New Roman" w:hAnsi="Times New Roman"/>
        </w:rPr>
      </w:pPr>
      <w:r>
        <w:rPr>
          <w:rFonts w:ascii="Times New Roman" w:hAnsi="Times New Roman"/>
        </w:rPr>
        <w:t>161.  La Cour a cependant considéré, dans une affaire concernant un autre État membre de l’Union européenne, que la question à trancher s’agissant de demandeurs d’asile se plaignant de leur situation de dénuement total ne se posait pas en ces termes. Ainsi qu’il ressort du cadre juridique décrit ci</w:t>
        <w:noBreakHyphen/>
        <w:t>dessus, l’obligation de fournir un hébergement ou des conditions matérielles décentes aux demandeurs d’asile démunis fait à ce jour partie du droit positif et pèse sur les autorités de l’État défendeur concerné en vertu des termes mêmes de la législation nationale qui transpose le droit de l’Union européenne, à savoir la « directive Accueil » (voir paragraphe 95 ci</w:t>
        <w:noBreakHyphen/>
        <w:t>dessus) (M.S.S. c. Belgique et Grèce, précité, § 250).</w:t>
      </w:r>
    </w:p>
    <w:p>
      <w:pPr>
        <w:pStyle w:val="Citations"/>
        <w:rPr/>
      </w:pPr>
      <w:r>
        <w:rPr>
          <w:rFonts w:ascii="Times New Roman" w:hAnsi="Times New Roman"/>
          <w:b w:val="false"/>
          <w:i/>
          <w:iCs/>
          <w:caps w:val="false"/>
          <w:smallCaps w:val="false"/>
          <w:color w:val="000000"/>
          <w:spacing w:val="0"/>
          <w:sz w:val="22"/>
          <w:szCs w:val="22"/>
        </w:rPr>
        <w:t>162.  La Cour rappelle ensuite que les demandeurs d’asile peuvent être considérés comme vulnérables du fait de leur parcours migratoire et des expériences traumatiques qu’ils peuvent avoir vécues en amont (M.S.S. c. Belgique et Grèce, précité, § 232 ; Ilias et Ahmed c. Hongrie, ([GC], no </w:t>
      </w:r>
      <w:hyperlink r:id="rId4">
        <w:r>
          <w:rPr>
            <w:rStyle w:val="LienInternet"/>
            <w:rFonts w:ascii="Times New Roman" w:hAnsi="Times New Roman"/>
            <w:b w:val="false"/>
            <w:i/>
            <w:iCs/>
            <w:caps w:val="false"/>
            <w:smallCaps w:val="false"/>
            <w:color w:val="0069D6"/>
            <w:spacing w:val="0"/>
            <w:sz w:val="22"/>
            <w:szCs w:val="22"/>
            <w:u w:val="single"/>
          </w:rPr>
          <w:t>47287/15</w:t>
        </w:r>
      </w:hyperlink>
      <w:r>
        <w:rPr>
          <w:rFonts w:ascii="Times New Roman" w:hAnsi="Times New Roman"/>
          <w:b w:val="false"/>
          <w:i/>
          <w:iCs/>
          <w:caps w:val="false"/>
          <w:smallCaps w:val="false"/>
          <w:color w:val="000000"/>
          <w:spacing w:val="0"/>
          <w:sz w:val="22"/>
          <w:szCs w:val="22"/>
        </w:rPr>
        <w:t>, § 192, 21 novembre 2019). La Cour note que le besoin de protéger les demandeurs d’asile fait l’objet d’un large consensus à l’échelle internationale et européenne, comme cela ressort de la Convention de Genève, du mandat et des activités du Haut</w:t>
        <w:noBreakHyphen/>
        <w:t>Commissariat des Nations unies pour les réfugiés (HCR), ainsi que des normes figurant dans la « directive Accueil » de l’Union européenne (voir M.S.S. c. Belgique et Grèce, précité, § 251).</w:t>
      </w:r>
    </w:p>
    <w:p>
      <w:pPr>
        <w:pStyle w:val="Citations"/>
        <w:rPr/>
      </w:pPr>
      <w:r>
        <w:rPr>
          <w:rFonts w:ascii="Times New Roman" w:hAnsi="Times New Roman"/>
          <w:b w:val="false"/>
          <w:i/>
          <w:iCs/>
          <w:caps w:val="false"/>
          <w:smallCaps w:val="false"/>
          <w:color w:val="000000"/>
          <w:spacing w:val="0"/>
          <w:sz w:val="22"/>
          <w:szCs w:val="22"/>
        </w:rPr>
        <w:t>163.  Elle rappelle qu’elle n’a pas exclu la possibilité que la responsabilité de l’État soit engagée sous l’angle de l’article 3 par un traitement dans le cadre duquel un requérant totalement dépendant de l’aide publique serait confronté à l’indifférence des autorités alors qu’il se trouverait dans une situation de privation ou de manque à ce point grave qu’elle serait incompatible avec la dignité humaine (Budina c. Russie (déc.), no </w:t>
      </w:r>
      <w:hyperlink r:id="rId5">
        <w:r>
          <w:rPr>
            <w:rStyle w:val="LienInternet"/>
            <w:rFonts w:ascii="Times New Roman" w:hAnsi="Times New Roman"/>
            <w:b w:val="false"/>
            <w:i/>
            <w:iCs/>
            <w:caps w:val="false"/>
            <w:smallCaps w:val="false"/>
            <w:color w:val="0069D6"/>
            <w:spacing w:val="0"/>
            <w:sz w:val="22"/>
            <w:szCs w:val="22"/>
            <w:u w:val="single"/>
          </w:rPr>
          <w:t>45603/05</w:t>
        </w:r>
      </w:hyperlink>
      <w:r>
        <w:rPr>
          <w:rFonts w:ascii="Times New Roman" w:hAnsi="Times New Roman"/>
          <w:b w:val="false"/>
          <w:i/>
          <w:iCs/>
          <w:caps w:val="false"/>
          <w:smallCaps w:val="false"/>
          <w:color w:val="000000"/>
          <w:spacing w:val="0"/>
          <w:sz w:val="22"/>
          <w:szCs w:val="22"/>
        </w:rPr>
        <w:t>, 18 juin 2009).</w:t>
      </w:r>
    </w:p>
    <w:p>
      <w:pPr>
        <w:pStyle w:val="Citations"/>
        <w:rPr/>
      </w:pPr>
      <w:r>
        <w:rPr>
          <w:rFonts w:ascii="Times New Roman" w:hAnsi="Times New Roman"/>
          <w:b w:val="false"/>
          <w:i/>
          <w:iCs/>
          <w:caps w:val="false"/>
          <w:smallCaps w:val="false"/>
          <w:color w:val="000000"/>
          <w:spacing w:val="0"/>
          <w:sz w:val="22"/>
          <w:szCs w:val="22"/>
        </w:rPr>
        <w:t>164.  La Cour a déjà jugé que la gravité de la situation de dénuement dans laquelle s’était trouvé un requérant, demandeur d’asile, resté plusieurs mois dans l’incapacité à répondre à ses besoins les plus élémentaires, entendus comme se nourrir, se laver et se loger, dans l’angoisse permanente d’être attaqué et volé, dans l’absence totale de perspective de voir sa situation s’améliorer (M.S.S. c. Belgique et Grèce, précité, § 254) et combinée à l’inertie des autorités compétentes en matière d’asile avaient emporté violation de l’article 3 de la Convention (M.S.S. c. Belgique et Grèce, précité, §§ 262</w:t>
        <w:noBreakHyphen/>
        <w:t>263 ; voir postérieurement à M.S.S. c. Belgique et Grèce, précité : Sufi et Elmi c. Royaume-Uni, no </w:t>
      </w:r>
      <w:hyperlink r:id="rId6">
        <w:r>
          <w:rPr>
            <w:rStyle w:val="LienInternet"/>
            <w:rFonts w:ascii="Times New Roman" w:hAnsi="Times New Roman"/>
            <w:b w:val="false"/>
            <w:i/>
            <w:iCs/>
            <w:caps w:val="false"/>
            <w:smallCaps w:val="false"/>
            <w:color w:val="0069D6"/>
            <w:spacing w:val="0"/>
            <w:sz w:val="22"/>
            <w:szCs w:val="22"/>
            <w:u w:val="single"/>
          </w:rPr>
          <w:t>8319/07</w:t>
        </w:r>
      </w:hyperlink>
      <w:r>
        <w:rPr>
          <w:rFonts w:ascii="Times New Roman" w:hAnsi="Times New Roman"/>
          <w:b w:val="false"/>
          <w:i/>
          <w:iCs/>
          <w:caps w:val="false"/>
          <w:smallCaps w:val="false"/>
          <w:color w:val="000000"/>
          <w:spacing w:val="0"/>
          <w:sz w:val="22"/>
          <w:szCs w:val="22"/>
        </w:rPr>
        <w:t> et no </w:t>
      </w:r>
      <w:hyperlink r:id="rId7">
        <w:r>
          <w:rPr>
            <w:rStyle w:val="LienInternet"/>
            <w:rFonts w:ascii="Times New Roman" w:hAnsi="Times New Roman"/>
            <w:b w:val="false"/>
            <w:i/>
            <w:iCs/>
            <w:caps w:val="false"/>
            <w:smallCaps w:val="false"/>
            <w:color w:val="0069D6"/>
            <w:spacing w:val="0"/>
            <w:sz w:val="22"/>
            <w:szCs w:val="22"/>
            <w:u w:val="single"/>
          </w:rPr>
          <w:t>11449/07</w:t>
        </w:r>
      </w:hyperlink>
      <w:r>
        <w:rPr>
          <w:rFonts w:ascii="Times New Roman" w:hAnsi="Times New Roman"/>
          <w:b w:val="false"/>
          <w:i/>
          <w:iCs/>
          <w:caps w:val="false"/>
          <w:smallCaps w:val="false"/>
          <w:color w:val="000000"/>
          <w:spacing w:val="0"/>
          <w:sz w:val="22"/>
          <w:szCs w:val="22"/>
        </w:rPr>
        <w:t>, § 283, 28 juin 2011, et F.H. c. Grèce, no </w:t>
      </w:r>
      <w:hyperlink r:id="rId8">
        <w:r>
          <w:rPr>
            <w:rStyle w:val="LienInternet"/>
            <w:rFonts w:ascii="Times New Roman" w:hAnsi="Times New Roman"/>
            <w:b w:val="false"/>
            <w:i/>
            <w:iCs/>
            <w:caps w:val="false"/>
            <w:smallCaps w:val="false"/>
            <w:color w:val="0069D6"/>
            <w:spacing w:val="0"/>
            <w:sz w:val="22"/>
            <w:szCs w:val="22"/>
            <w:u w:val="single"/>
          </w:rPr>
          <w:t>78456/11</w:t>
        </w:r>
      </w:hyperlink>
      <w:r>
        <w:rPr>
          <w:rFonts w:ascii="Times New Roman" w:hAnsi="Times New Roman"/>
          <w:b w:val="false"/>
          <w:i/>
          <w:iCs/>
          <w:caps w:val="false"/>
          <w:smallCaps w:val="false"/>
          <w:color w:val="000000"/>
          <w:spacing w:val="0"/>
          <w:sz w:val="22"/>
          <w:szCs w:val="22"/>
        </w:rPr>
        <w:t>, §§ 107</w:t>
        <w:noBreakHyphen/>
        <w:t>111, 31 juillet 2014</w:t>
      </w:r>
    </w:p>
    <w:p>
      <w:pPr>
        <w:pStyle w:val="Corpsdetexte"/>
        <w:rPr>
          <w:rFonts w:ascii="Times New Roman" w:hAnsi="Times New Roman"/>
        </w:rPr>
      </w:pPr>
      <w:r>
        <w:rPr>
          <w:rFonts w:ascii="Times New Roman" w:hAnsi="Times New Roman"/>
        </w:rPr>
        <w:t>Après avoir regardé les situations d’espèce, elle conclut que :</w:t>
      </w:r>
    </w:p>
    <w:p>
      <w:pPr>
        <w:pStyle w:val="Citations"/>
        <w:rPr>
          <w:rFonts w:ascii="Times New Roman" w:hAnsi="Times New Roman"/>
        </w:rPr>
      </w:pPr>
      <w:r>
        <w:rPr>
          <w:rFonts w:ascii="Times New Roman" w:hAnsi="Times New Roman"/>
          <w:b w:val="false"/>
          <w:bCs w:val="false"/>
          <w:i/>
          <w:iCs/>
          <w:caps w:val="false"/>
          <w:smallCaps w:val="false"/>
          <w:color w:val="000000"/>
          <w:spacing w:val="0"/>
          <w:sz w:val="22"/>
          <w:szCs w:val="22"/>
        </w:rPr>
        <w:t>184.  Au vu de ce qui précède, la Cour constate que les autorités françaises ont manqué à l’encontre des requérants à leurs obligations prévues par le droit interne. En conséquence, la Cour considère qu’elles doivent être tenues pour responsables des conditions dans lesquelles i</w:t>
      </w:r>
      <w:r>
        <w:rPr>
          <w:rFonts w:ascii="Times New Roman" w:hAnsi="Times New Roman"/>
          <w:b w:val="false"/>
          <w:bCs w:val="false"/>
          <w:i/>
          <w:iCs/>
          <w:caps w:val="false"/>
          <w:smallCaps w:val="false"/>
          <w:color w:val="000000"/>
          <w:spacing w:val="0"/>
          <w:sz w:val="22"/>
          <w:szCs w:val="22"/>
          <w:u w:val="single"/>
        </w:rPr>
        <w:t>ls se sont trouvés pendant des mois</w:t>
      </w:r>
      <w:r>
        <w:rPr>
          <w:rFonts w:ascii="Times New Roman" w:hAnsi="Times New Roman"/>
          <w:b w:val="false"/>
          <w:bCs w:val="false"/>
          <w:i/>
          <w:iCs/>
          <w:caps w:val="false"/>
          <w:smallCaps w:val="false"/>
          <w:color w:val="000000"/>
          <w:spacing w:val="0"/>
          <w:sz w:val="22"/>
          <w:szCs w:val="22"/>
        </w:rPr>
        <w:t xml:space="preserve">, vivant dans la rue, sans ressources, sans accès à des sanitaires, ne disposant d’aucun moyen de subvenir à leurs besoins essentiels et dans l’angoisse permanente d’être attaqués et volés. La Cour estime que les requérants ont été victimes d’un traitement dégradant témoignant d’un manque de respect pour leur dignité et que cette situation a, sans aucun doute, suscité chez eux des sentiments de peur, d’angoisse ou d’infériorité propres à conduire au désespoir. Elle considère que de telles conditions d’existence, combinées avec l’absence de réponse adéquate des autorités françaises qu’ils ont alertées à maintes reprises sur leur impossibilité de jouir en pratique de leurs droits et donc de pourvoir à leurs besoins essentiels, et </w:t>
      </w:r>
      <w:r>
        <w:rPr>
          <w:rFonts w:ascii="Times New Roman" w:hAnsi="Times New Roman"/>
          <w:b w:val="false"/>
          <w:bCs w:val="false"/>
          <w:i/>
          <w:iCs/>
          <w:caps w:val="false"/>
          <w:smallCaps w:val="false"/>
          <w:color w:val="000000"/>
          <w:spacing w:val="0"/>
          <w:sz w:val="22"/>
          <w:szCs w:val="22"/>
          <w:u w:val="single"/>
        </w:rPr>
        <w:t>le fait que les juridictions internes leur ont systématiquement opposé le manque de moyens dont disposaient les instances compétentes au regard de leurs conditions de jeunes majeurs isolés, en bonne santé et sans charge de famille, ont atteint le seuil de gravité requis par l’article 3 de la Convention.</w:t>
      </w:r>
    </w:p>
    <w:p>
      <w:pPr>
        <w:pStyle w:val="Corpsdetexte"/>
        <w:rPr/>
      </w:pPr>
      <w:r>
        <w:rPr>
          <w:rFonts w:ascii="Times New Roman" w:hAnsi="Times New Roman"/>
          <w:b w:val="false"/>
          <w:bCs w:val="false"/>
          <w:caps w:val="false"/>
          <w:smallCaps w:val="false"/>
          <w:color w:val="000000"/>
          <w:spacing w:val="0"/>
        </w:rPr>
        <w:t>Cf. CEDH, 5</w:t>
      </w:r>
      <w:r>
        <w:rPr>
          <w:rFonts w:ascii="Times New Roman" w:hAnsi="Times New Roman"/>
          <w:b w:val="false"/>
          <w:bCs w:val="false"/>
          <w:caps w:val="false"/>
          <w:smallCaps w:val="false"/>
          <w:color w:val="000000"/>
          <w:spacing w:val="0"/>
          <w:vertAlign w:val="superscript"/>
        </w:rPr>
        <w:t>e</w:t>
      </w:r>
      <w:r>
        <w:rPr>
          <w:rFonts w:ascii="Times New Roman" w:hAnsi="Times New Roman"/>
          <w:b w:val="false"/>
          <w:bCs w:val="false"/>
          <w:caps w:val="false"/>
          <w:smallCaps w:val="false"/>
          <w:color w:val="000000"/>
          <w:spacing w:val="0"/>
        </w:rPr>
        <w:t xml:space="preserve"> chambre, 2 juillet 2020, req. n°s </w:t>
      </w:r>
      <w:r>
        <w:rPr>
          <w:rFonts w:ascii="Times New Roman" w:hAnsi="Times New Roman"/>
          <w:b w:val="false"/>
          <w:caps w:val="false"/>
          <w:smallCaps w:val="false"/>
          <w:color w:val="000000"/>
          <w:spacing w:val="0"/>
        </w:rPr>
        <w:t>28820/13, 75547/13, 13114/15</w:t>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2"/>
        </w:rPr>
        <w:t>L</w:t>
      </w:r>
      <w:r>
        <w:rPr>
          <w:rFonts w:cs="Times New Roman" w:ascii="Times New Roman" w:hAnsi="Times New Roman"/>
          <w:i w:val="false"/>
          <w:iCs w:val="false"/>
          <w:sz w:val="22"/>
        </w:rPr>
        <w:t>e Conseil d’État a jugé que :</w:t>
      </w:r>
    </w:p>
    <w:p>
      <w:pPr>
        <w:pStyle w:val="Citations"/>
        <w:rPr/>
      </w:pPr>
      <w:r>
        <w:rPr/>
        <w:t xml:space="preserve">16. Elle implique, en outre, que les demandeurs d'asile ayant été privés du bénéfice des conditions matérielles d'accueil en vertu d'une décision, prise après le 1er janvier 2019, y mettant fin dans un cas mentionné à l'article L. 744-7 du code puissent demander le rétablissement de ce bénéfice. Il appartient alors à l'Office français de l'immigration et de l'intégration de statuer sur une telle demande de rétablissement en appréciant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p>
    <w:p>
      <w:pPr>
        <w:pStyle w:val="Citations"/>
        <w:rPr/>
      </w:pPr>
      <w:r>
        <w:rPr/>
        <w:t>17. Enfin, compte tenu des motifs d'incompatibilité des dispositions des articles L. 744-7 et L. 744-8 qui ne s'opposent pas à ce que l'autorité compétente puisse limiter ou supprimer le bénéfice des conditions matérielles d'accueil aux demandeurs d'asile qui quittent leur lieu d'hébergement ou la région d'orientation déterminée en application de l'article L. 744-2 du code de l'entrée et du séjour des étrangers et du droit d'asile ou qui ne respectent pas les exigences des autorités chargées de l'asile, il y a lieu de préciser les conditions dans lesquelles les autorités compétentes peuvent, dans l'attente de la modification des articles L. 744-7 et L. 744-8 par le législateur, tirer des conséquences de tels comportements sur le bénéfice des conditions matérielles d'accueil.</w:t>
      </w:r>
    </w:p>
    <w:p>
      <w:pPr>
        <w:pStyle w:val="Citations"/>
        <w:rPr/>
      </w:pPr>
      <w:r>
        <w:rPr/>
        <w:t xml:space="preserve">18. Ainsi, il reste possible à l'Office français de l'immigration et de l'intégration de refuser le bénéfice des conditions matérielles d'accueil, après examen de sa situation particulière et par une décision motivée, au demandeur qui a refusé le lieu d'hébergement proposé ou la région d'orientation. Il lui est également possible, dans les mêmes conditions et après avoir mis, sauf impossibilité, l'intéressé en mesure de présenter ses observations, de suspendre le bénéfice de ces conditions lorsque le demandeur a quitté le lieu d'hébergement proposé ou la région d'orientation ou n'a pas respecté les exigences des autorités chargées de l'asile, notamment de se rendre aux entretiens, de se présenter aux autorités et de fournir les informations utiles afin de faciliter l'instruction des demandes. Si le bénéfice des conditions matérielles d'accueil a été suspendu, le demandeur d'asile peut en demander le rétablissement à l'Office, qui devra apprécier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r>
        <w:rPr>
          <w:i w:val="false"/>
          <w:iCs w:val="false"/>
        </w:rPr>
        <w:t xml:space="preserve">Cf. CE, 31 juillet 2019, Cimade et autres, n°428530, au Recueil)                                         </w:t>
      </w:r>
    </w:p>
    <w:p>
      <w:pPr>
        <w:pStyle w:val="Citations"/>
        <w:rPr/>
      </w:pPr>
      <w:r>
        <w:rPr>
          <w:i w:val="false"/>
          <w:iCs w:val="false"/>
        </w:rPr>
        <w:t xml:space="preserve">A la lumière de ces arrêts, il apparaît clair que le principe est le rétablissement même partiel du bénéfice des conditions matérielles d’accueil et l’exception , dûment motivée est le maintien du retrait total de ce bénéfice. </w:t>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4"/>
          <w:szCs w:val="24"/>
        </w:rPr>
        <w:t>Or il est manifeste que :</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je suis dépourvu·e de toute ressource depuis le </w:t>
        <w:tab/>
        <w:tab/>
        <w:t>et je ne dispose pas d’un lieu pour vivre</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je fais partie des personnes vulnérables au sens de l’article L.744-6 du CESEDA.</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4"/>
          <w:szCs w:val="24"/>
        </w:rPr>
        <w:t>La décision de refus de rétablissement de l’OFII fait donc une fausse application des dispositions du droit européen et du droit national, tel qu’interprétés par le</w:t>
      </w:r>
      <w:r>
        <w:rPr>
          <w:rFonts w:cs="Times New Roman" w:ascii="Times New Roman" w:hAnsi="Times New Roman"/>
          <w:i w:val="false"/>
          <w:iCs w:val="false"/>
          <w:sz w:val="24"/>
          <w:szCs w:val="24"/>
        </w:rPr>
        <w:t xml:space="preserve">s Cours européennes et le </w:t>
      </w:r>
      <w:r>
        <w:rPr>
          <w:rFonts w:cs="Times New Roman" w:ascii="Times New Roman" w:hAnsi="Times New Roman"/>
          <w:i w:val="false"/>
          <w:iCs w:val="false"/>
          <w:sz w:val="24"/>
          <w:szCs w:val="24"/>
        </w:rPr>
        <w:t xml:space="preserve"> Conseil d’État.</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Titre4"/>
        <w:rPr>
          <w:rFonts w:ascii="Times New Roman" w:hAnsi="Times New Roman" w:cs="Times New Roman"/>
          <w:b/>
          <w:b/>
          <w:bCs/>
          <w:sz w:val="22"/>
        </w:rPr>
      </w:pPr>
      <w:r>
        <w:rPr>
          <w:rFonts w:cs="Times New Roman" w:ascii="Times New Roman" w:hAnsi="Times New Roman"/>
          <w:sz w:val="22"/>
        </w:rPr>
        <w:t>Sur les autres motifs prévus à l’article L. 744-8 du CESEDA</w:t>
      </w:r>
    </w:p>
    <w:p>
      <w:pPr>
        <w:pStyle w:val="Corpsdetexte"/>
        <w:tabs>
          <w:tab w:val="clear" w:pos="708"/>
          <w:tab w:val="left" w:pos="-45" w:leader="none"/>
          <w:tab w:val="left" w:pos="4995" w:leader="none"/>
        </w:tabs>
        <w:ind w:left="567" w:hanging="0"/>
        <w:jc w:val="both"/>
        <w:rPr>
          <w:rFonts w:ascii="Times New Roman" w:hAnsi="Times New Roman" w:cs="Times New Roman"/>
          <w:sz w:val="22"/>
        </w:rPr>
      </w:pPr>
      <w:r>
        <w:rPr>
          <w:rFonts w:cs="Times New Roman" w:ascii="Times New Roman" w:hAnsi="Times New Roman"/>
          <w:sz w:val="22"/>
        </w:rPr>
        <w:t xml:space="preserve">L’OFII ne pouvant retirer ou refuser pour d’autres motifs </w:t>
      </w:r>
      <w:r>
        <w:rPr>
          <w:rStyle w:val="Strong"/>
          <w:rFonts w:cs="Times New Roman" w:ascii="Times New Roman" w:hAnsi="Times New Roman"/>
          <w:sz w:val="22"/>
        </w:rPr>
        <w:t>prévus par l’article L. 744-8 du CESEDA :</w:t>
      </w:r>
    </w:p>
    <w:p>
      <w:pPr>
        <w:pStyle w:val="NormalWeb"/>
        <w:numPr>
          <w:ilvl w:val="0"/>
          <w:numId w:val="4"/>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donné de fausses indications concernant mon identité ou ma situation familiale (cf. JRCE, 9 novembre 2017, n° 415132) ;</w:t>
      </w:r>
    </w:p>
    <w:p>
      <w:pPr>
        <w:pStyle w:val="NormalWeb"/>
        <w:numPr>
          <w:ilvl w:val="0"/>
          <w:numId w:val="4"/>
        </w:numPr>
        <w:tabs>
          <w:tab w:val="clear" w:pos="708"/>
          <w:tab w:val="left" w:pos="567" w:leader="none"/>
        </w:tabs>
        <w:ind w:left="567" w:firstLine="7"/>
        <w:jc w:val="both"/>
        <w:rPr/>
      </w:pPr>
      <w:r>
        <w:rPr>
          <w:rFonts w:cs="Times New Roman" w:ascii="Times New Roman" w:hAnsi="Times New Roman"/>
          <w:sz w:val="22"/>
        </w:rPr>
        <w:t xml:space="preserve">Je n’ai pas formulé ma demande d’asile plus de 90 jours après mon entrée irrégulière, ni de demande de réexamen. </w:t>
      </w:r>
    </w:p>
    <w:p>
      <w:pPr>
        <w:pStyle w:val="NormalWeb"/>
        <w:tabs>
          <w:tab w:val="clear" w:pos="708"/>
          <w:tab w:val="left" w:pos="567" w:leader="none"/>
        </w:tabs>
        <w:jc w:val="both"/>
        <w:rPr>
          <w:rFonts w:ascii="Times New Roman" w:hAnsi="Times New Roman" w:cs="Times New Roman"/>
          <w:sz w:val="22"/>
        </w:rPr>
      </w:pPr>
      <w:r>
        <w:rPr>
          <w:rFonts w:cs="Times New Roman" w:ascii="Times New Roman" w:hAnsi="Times New Roman"/>
          <w:sz w:val="22"/>
        </w:rPr>
      </w:r>
    </w:p>
    <w:p>
      <w:pPr>
        <w:pStyle w:val="WWStandard"/>
        <w:spacing w:lineRule="atLeast" w:line="200"/>
        <w:jc w:val="both"/>
        <w:rPr/>
      </w:pPr>
      <w:r>
        <w:rPr>
          <w:rFonts w:cs="Times New Roman" w:ascii="Times New Roman" w:hAnsi="Times New Roman"/>
          <w:bCs/>
          <w:sz w:val="22"/>
          <w:szCs w:val="22"/>
        </w:rPr>
        <w:t>Il existe donc un doute sérieux quant à la légalité de la décision de l’OFII.</w:t>
      </w:r>
    </w:p>
    <w:p>
      <w:pPr>
        <w:pStyle w:val="Titre1"/>
        <w:numPr>
          <w:ilvl w:val="0"/>
          <w:numId w:val="0"/>
        </w:numPr>
        <w:ind w:left="567" w:hanging="0"/>
        <w:rPr/>
      </w:pPr>
      <w:r>
        <w:rPr/>
        <w:t xml:space="preserve">Conclusions </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Il est demandé au juge des référés du tribunal de céans:</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 de suspendre la décision  de refus de rétablissement du  et d’enjoindre à l'OFII de réexaminer ma situation et de rétablir mes droits aux conditions matérielles d’accueil sous astreinte de 200€ par jour de retard à compter de la notification de l’ordonnance à venir ; de m’indiquer un lieu susceptible de m’accueillir et de me rétablir mes droits à l’allocation pour demandeur d’asile à compter de l’ordonnance à intervenir, </w:t>
      </w:r>
    </w:p>
    <w:p>
      <w:pPr>
        <w:pStyle w:val="Normal"/>
        <w:numPr>
          <w:ilvl w:val="0"/>
          <w:numId w:val="3"/>
        </w:numPr>
        <w:tabs>
          <w:tab w:val="clear" w:pos="708"/>
          <w:tab w:val="left" w:pos="0" w:leader="none"/>
        </w:tabs>
        <w:suppressAutoHyphens w:val="true"/>
        <w:spacing w:lineRule="atLeast" w:line="200" w:before="57" w:after="57"/>
        <w:ind w:left="397" w:hanging="0"/>
        <w:jc w:val="both"/>
        <w:textAlignment w:val="baseline"/>
        <w:rPr>
          <w:rFonts w:ascii="Times New Roman" w:hAnsi="Times New Roman" w:cs="Times New Roman"/>
          <w:sz w:val="22"/>
        </w:rPr>
      </w:pPr>
      <w:r>
        <w:rPr>
          <w:rFonts w:cs="Times New Roman" w:ascii="Times New Roman" w:hAnsi="Times New Roman"/>
          <w:sz w:val="22"/>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rFonts w:ascii="Times New Roman" w:hAnsi="Times New Roman" w:cs="Times New Roman"/>
          <w:sz w:val="22"/>
        </w:rPr>
      </w:pPr>
      <w:r>
        <w:rPr>
          <w:rFonts w:cs="Times New Roman" w:ascii="Times New Roman" w:hAnsi="Times New Roman"/>
          <w:sz w:val="22"/>
        </w:rPr>
        <w:t>Fait à</w:t>
        <w:tab/>
        <w:t xml:space="preserve">, le </w:t>
        <w:tab/>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rFonts w:cs="Times New Roman" w:ascii="Times New Roman" w:hAnsi="Times New Roman"/>
          <w:sz w:val="22"/>
        </w:rPr>
      </w:r>
      <w:r>
        <w:br w:type="page"/>
      </w:r>
    </w:p>
    <w:p>
      <w:pPr>
        <w:pStyle w:val="Normal"/>
        <w:rPr>
          <w:rFonts w:ascii="Times New Roman" w:hAnsi="Times New Roman" w:cs="Times New Roman"/>
          <w:sz w:val="22"/>
        </w:rPr>
      </w:pPr>
      <w:r>
        <w:rPr>
          <w:rFonts w:cs="Times New Roman" w:ascii="Times New Roman" w:hAnsi="Times New Roman"/>
          <w:sz w:val="22"/>
        </w:rPr>
      </w:r>
    </w:p>
    <w:p>
      <w:pPr>
        <w:pStyle w:val="Normal"/>
        <w:jc w:val="center"/>
        <w:rPr>
          <w:rFonts w:ascii="Times New Roman" w:hAnsi="Times New Roman" w:cs="Times New Roman"/>
          <w:sz w:val="22"/>
          <w:szCs w:val="22"/>
        </w:rPr>
      </w:pPr>
      <w:r>
        <w:rPr>
          <w:rFonts w:ascii="Times New Roman" w:hAnsi="Times New Roman"/>
          <w:b/>
          <w:bCs/>
          <w:sz w:val="32"/>
          <w:szCs w:val="32"/>
        </w:rPr>
        <w:t xml:space="preserve">TRIBUNAL ADMINISTRATIF DE </w:t>
        <w:tab/>
        <w:tab/>
      </w:r>
    </w:p>
    <w:p>
      <w:pPr>
        <w:pStyle w:val="Normal"/>
        <w:jc w:val="center"/>
        <w:rPr>
          <w:rFonts w:ascii="Times New Roman" w:hAnsi="Times New Roman" w:cs="Times New Roman"/>
          <w:sz w:val="22"/>
          <w:szCs w:val="22"/>
        </w:rPr>
      </w:pPr>
      <w:bookmarkStart w:id="3" w:name="r%25252525252525252525252525252525252525"/>
      <w:bookmarkEnd w:id="3"/>
      <w:r>
        <w:rPr>
          <w:rFonts w:ascii="Times New Roman" w:hAnsi="Times New Roman"/>
          <w:b/>
          <w:bCs/>
          <w:sz w:val="32"/>
          <w:szCs w:val="32"/>
        </w:rPr>
        <w:t>REQUETE EN ANNULATION</w:t>
      </w:r>
    </w:p>
    <w:p>
      <w:pPr>
        <w:pStyle w:val="Normal"/>
        <w:jc w:val="center"/>
        <w:rPr>
          <w:rFonts w:ascii="Times New Roman" w:hAnsi="Times New Roman"/>
          <w:b/>
          <w:b/>
          <w:bCs/>
          <w:sz w:val="32"/>
          <w:szCs w:val="32"/>
        </w:rPr>
      </w:pPr>
      <w:r>
        <w:rPr>
          <w:rFonts w:ascii="Times New Roman" w:hAnsi="Times New Roman"/>
          <w:b/>
          <w:bCs/>
          <w:sz w:val="32"/>
          <w:szCs w:val="32"/>
        </w:rPr>
      </w:r>
    </w:p>
    <w:p>
      <w:pPr>
        <w:pStyle w:val="Normal"/>
        <w:ind w:left="432" w:hanging="0"/>
        <w:rPr>
          <w:rFonts w:ascii="Times New Roman" w:hAnsi="Times New Roman" w:cs="Times New Roman"/>
          <w:sz w:val="22"/>
        </w:rPr>
      </w:pPr>
      <w:r>
        <w:rPr>
          <w:rFonts w:cs="Times New Roman" w:ascii="Times New Roman" w:hAnsi="Times New Roman"/>
          <w:sz w:val="22"/>
        </w:rPr>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M.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Né·le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De nationalité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Domicilié chez C</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téléphone </w:t>
      </w:r>
    </w:p>
    <w:p>
      <w:pPr>
        <w:pStyle w:val="Normal"/>
        <w:tabs>
          <w:tab w:val="clear" w:pos="708"/>
          <w:tab w:val="left" w:pos="90" w:leader="none"/>
        </w:tabs>
        <w:spacing w:lineRule="atLeast" w:line="200" w:before="57" w:after="57"/>
        <w:ind w:left="567" w:hanging="0"/>
        <w:jc w:val="both"/>
        <w:rPr>
          <w:rFonts w:ascii="Times New Roman" w:hAnsi="Times New Roman" w:cs="Times New Roman"/>
          <w:sz w:val="22"/>
        </w:rPr>
      </w:pPr>
      <w:r>
        <w:rPr>
          <w:rStyle w:val="LienInternet"/>
          <w:rFonts w:eastAsia="Times New Roman" w:cs="Times New Roman" w:ascii="Times New Roman" w:hAnsi="Times New Roman"/>
          <w:b/>
          <w:bCs/>
          <w:sz w:val="22"/>
        </w:rPr>
        <w:t xml:space="preserve">mail </w:t>
      </w:r>
      <w:bookmarkStart w:id="4" w:name="__DdeLink__674_21966215043"/>
      <w:bookmarkEnd w:id="4"/>
    </w:p>
    <w:p>
      <w:pPr>
        <w:pStyle w:val="Normal"/>
        <w:spacing w:lineRule="atLeast" w:line="200" w:before="57" w:after="57"/>
        <w:ind w:left="567" w:hanging="0"/>
        <w:jc w:val="right"/>
        <w:rPr>
          <w:rFonts w:ascii="Times New Roman" w:hAnsi="Times New Roman" w:cs="Times New Roman"/>
          <w:sz w:val="22"/>
        </w:rPr>
      </w:pPr>
      <w:r>
        <w:rPr>
          <w:rFonts w:cs="Times New Roman" w:ascii="Times New Roman" w:hAnsi="Times New Roman"/>
          <w:b/>
          <w:sz w:val="22"/>
        </w:rPr>
        <w:t>Requérant</w:t>
      </w:r>
    </w:p>
    <w:p>
      <w:pPr>
        <w:pStyle w:val="Normal"/>
        <w:spacing w:lineRule="atLeast" w:line="200" w:before="57" w:after="57"/>
        <w:ind w:left="567" w:hanging="0"/>
        <w:jc w:val="right"/>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both"/>
        <w:rPr/>
      </w:pPr>
      <w:r>
        <w:rPr>
          <w:rFonts w:cs="Times New Roman" w:ascii="Times New Roman" w:hAnsi="Times New Roman"/>
          <w:b/>
          <w:sz w:val="22"/>
        </w:rPr>
        <w:t>Monsieur le directeur général de l'office français de l'immigration et de l'intégration</w:t>
      </w:r>
    </w:p>
    <w:p>
      <w:pPr>
        <w:pStyle w:val="Normal"/>
        <w:spacing w:lineRule="atLeast" w:line="200" w:before="57" w:after="57"/>
        <w:ind w:left="567" w:hanging="0"/>
        <w:jc w:val="both"/>
        <w:rPr>
          <w:rFonts w:ascii="Times New Roman" w:hAnsi="Times New Roman" w:cs="Times New Roman"/>
          <w:sz w:val="22"/>
          <w:szCs w:val="22"/>
        </w:rPr>
      </w:pPr>
      <w:r>
        <w:rPr/>
      </w:r>
    </w:p>
    <w:p>
      <w:pPr>
        <w:pStyle w:val="Titreprincipal"/>
        <w:rPr>
          <w:rFonts w:ascii="Times New Roman" w:hAnsi="Times New Roman"/>
          <w:sz w:val="24"/>
          <w:szCs w:val="24"/>
        </w:rPr>
      </w:pPr>
      <w:r>
        <w:rPr>
          <w:rFonts w:ascii="Times New Roman" w:hAnsi="Times New Roman"/>
          <w:sz w:val="24"/>
          <w:szCs w:val="24"/>
        </w:rPr>
        <w:t>objet annulation de la décision de refus des conditions d’accueil en date du</w:t>
        <w:tab/>
        <w:tab/>
      </w:r>
    </w:p>
    <w:p>
      <w:pPr>
        <w:pStyle w:val="Normal"/>
        <w:rPr>
          <w:rFonts w:ascii="Times New Roman" w:hAnsi="Times New Roman" w:cs="Times New Roman"/>
          <w:sz w:val="22"/>
        </w:rPr>
      </w:pPr>
      <w:r>
        <w:rPr>
          <w:rFonts w:cs="Times New Roman" w:ascii="Times New Roman" w:hAnsi="Times New Roman"/>
          <w:sz w:val="22"/>
        </w:rPr>
      </w:r>
    </w:p>
    <w:p>
      <w:pPr>
        <w:pStyle w:val="Titre1"/>
        <w:numPr>
          <w:ilvl w:val="0"/>
          <w:numId w:val="0"/>
        </w:numPr>
        <w:ind w:left="999" w:hanging="0"/>
        <w:rPr/>
      </w:pPr>
      <w:r>
        <w:rPr/>
        <w:t>Faits et procédure</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J'ai décidé de formuler une demande d'asile le </w:t>
        <w:tab/>
        <w:tab/>
      </w:r>
    </w:p>
    <w:p>
      <w:pPr>
        <w:pStyle w:val="Normal"/>
        <w:spacing w:before="113" w:after="113"/>
        <w:jc w:val="both"/>
        <w:rPr>
          <w:rFonts w:ascii="Times New Roman" w:hAnsi="Times New Roman" w:cs="Times New Roman"/>
          <w:sz w:val="22"/>
        </w:rPr>
      </w:pPr>
      <w:r>
        <w:rPr>
          <w:rFonts w:eastAsia="Garamond" w:cs="Times New Roman" w:ascii="Times New Roman" w:hAnsi="Times New Roman"/>
          <w:sz w:val="22"/>
        </w:rPr>
        <w:t xml:space="preserve"> </w:t>
      </w:r>
      <w:r>
        <w:rPr>
          <w:rFonts w:eastAsia="Lucida Sans Unicode" w:cs="Times New Roman" w:ascii="Times New Roman" w:hAnsi="Times New Roman"/>
          <w:sz w:val="22"/>
        </w:rPr>
        <w:t>Ma demande a été enregistrée le même jour. Il m’a été remis une attestation de demande d’asile « procédure Dublin » (pièce n°1) car le préfet a estimé que ma demande d’asile relevait de la responsabilité des autorités  qui ont été saisies le  et qui ont répondu favorablement le .</w:t>
      </w:r>
    </w:p>
    <w:p>
      <w:pPr>
        <w:pStyle w:val="Normal"/>
        <w:spacing w:before="113" w:after="113"/>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L'office français d'immigration et d'intégration m'a proposé les conditions d'accueil conformément à l'article L. 744-1 du CESEDA, proposition que j'ai acceptée. </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J’ai bénéficié </w:t>
      </w:r>
      <w:r>
        <w:rPr>
          <w:rFonts w:eastAsia="Lucida Sans Unicode" w:cs="Times New Roman" w:ascii="Times New Roman" w:hAnsi="Times New Roman"/>
          <w:color w:val="FF0000"/>
          <w:sz w:val="22"/>
        </w:rPr>
        <w:t xml:space="preserve">d’une orientation vers le lieu d’hébergement et </w:t>
      </w:r>
      <w:r>
        <w:rPr>
          <w:rFonts w:eastAsia="Lucida Sans Unicode" w:cs="Times New Roman" w:ascii="Times New Roman" w:hAnsi="Times New Roman"/>
          <w:sz w:val="22"/>
        </w:rPr>
        <w:t>de l’allocation pour demandeur d’asile.</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Le </w:t>
        <w:tab/>
        <w:t xml:space="preserve">, le préfet de </w:t>
        <w:tab/>
        <w:t>a prononcé à mon encontre une décision de transfert sur le fondement de l’article L. 742-3 du CESEDA, a</w:t>
      </w:r>
      <w:r>
        <w:rPr>
          <w:rFonts w:eastAsia="Lucida Sans Unicode" w:cs="Times New Roman" w:ascii="Times New Roman" w:hAnsi="Times New Roman"/>
          <w:color w:val="CE181E"/>
          <w:sz w:val="22"/>
        </w:rPr>
        <w:t>ssortie d’une assignation à résidence de quarante-cinq jours. (pièces n°1 et 2)</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P</w:t>
        <w:tab/>
        <w:t>ar jugement n°</w:t>
        <w:tab/>
        <w:t xml:space="preserve"> du </w:t>
        <w:tab/>
        <w:t>, ma requête contre cette décision a été rejetée par le tribunal administratif de</w:t>
        <w:tab/>
        <w:t xml:space="preserve">. En conséquence, le délai prévu à l’article 29 du règlement court une seule fois jusqu’au </w:t>
        <w:tab/>
      </w:r>
      <w:r>
        <w:rPr/>
        <w:commentReference w:id="0"/>
      </w:r>
      <w:r>
        <w:rPr>
          <w:rFonts w:eastAsia="Lucida Sans Unicode" w:cs="Times New Roman" w:ascii="Times New Roman" w:hAnsi="Times New Roman"/>
          <w:sz w:val="22"/>
        </w:rPr>
        <w:t xml:space="preserve"> (cf. CE, 24 septembre 2018, n°420708)</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Cependant, le préfet de </w:t>
        <w:tab/>
        <w:t xml:space="preserve">, considérant que j’étais en fuite, a prolongé le délai de transfert à dix-huit mois par décision du </w:t>
        <w:tab/>
        <w:tab/>
        <w:t>.</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L’OFII a suspendu/ retiré  le bénéfice des conditions d’accueil en raison de cette absence. </w:t>
      </w:r>
    </w:p>
    <w:p>
      <w:pPr>
        <w:pStyle w:val="Normal"/>
        <w:spacing w:before="113" w:after="113"/>
        <w:jc w:val="both"/>
        <w:rPr>
          <w:rFonts w:ascii="Times New Roman" w:hAnsi="Times New Roman" w:cs="Times New Roman"/>
          <w:color w:val="3333CC"/>
          <w:sz w:val="22"/>
        </w:rPr>
      </w:pPr>
      <w:r>
        <w:rPr>
          <w:rFonts w:eastAsia="Lucida Sans Unicode" w:cs="Times New Roman" w:ascii="Times New Roman" w:hAnsi="Times New Roman"/>
          <w:color w:val="3333CC"/>
          <w:sz w:val="22"/>
        </w:rPr>
        <w:t xml:space="preserve">A l’expiration du délai, je me suis présenté  aux services du préfet qui m’ont délivré une attestation de demande d’asile portant la mention « procédure normale/ procédure accélérée » </w:t>
      </w:r>
    </w:p>
    <w:p>
      <w:pPr>
        <w:pStyle w:val="Normal"/>
        <w:spacing w:before="113" w:after="113"/>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Je me suis également présenté à l’OFII pour demander le rétablissement des conditions d’accueil, demande explicité par courrier du </w:t>
        <w:tab/>
        <w:tab/>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L’OFIi n’</w:t>
      </w:r>
    </w:p>
    <w:p>
      <w:pPr>
        <w:pStyle w:val="Normal"/>
        <w:spacing w:lineRule="atLeast" w:line="200" w:before="113" w:after="113"/>
        <w:jc w:val="both"/>
        <w:rPr>
          <w:rFonts w:ascii="Times New Roman" w:hAnsi="Times New Roman" w:cs="Times New Roman"/>
          <w:sz w:val="22"/>
        </w:rPr>
      </w:pPr>
      <w:r>
        <w:rPr>
          <w:rFonts w:eastAsia="Lucida Sans Unicode" w:cs="Times New Roman" w:ascii="Times New Roman" w:hAnsi="Times New Roman"/>
          <w:kern w:val="2"/>
          <w:sz w:val="22"/>
        </w:rPr>
        <w:t>.Il est demandé l’annulation de cette décision ;</w:t>
      </w:r>
      <w:r>
        <w:br w:type="page"/>
      </w:r>
    </w:p>
    <w:p>
      <w:pPr>
        <w:pStyle w:val="Normal"/>
        <w:spacing w:before="113" w:after="113"/>
        <w:ind w:left="567" w:hanging="0"/>
        <w:jc w:val="both"/>
        <w:rPr>
          <w:rFonts w:ascii="Times New Roman" w:hAnsi="Times New Roman" w:eastAsia="Lucida Sans Unicode" w:cs="Times New Roman"/>
          <w:kern w:val="2"/>
          <w:sz w:val="22"/>
        </w:rPr>
      </w:pPr>
      <w:r>
        <w:rPr>
          <w:rFonts w:eastAsia="Lucida Sans Unicode" w:cs="Times New Roman" w:ascii="Times New Roman" w:hAnsi="Times New Roman"/>
          <w:kern w:val="2"/>
          <w:sz w:val="22"/>
        </w:rPr>
      </w:r>
    </w:p>
    <w:p>
      <w:pPr>
        <w:pStyle w:val="Titre1"/>
        <w:numPr>
          <w:ilvl w:val="0"/>
          <w:numId w:val="6"/>
        </w:numPr>
        <w:rPr>
          <w:rFonts w:ascii="Times New Roman" w:hAnsi="Times New Roman" w:cs="Times New Roman"/>
          <w:sz w:val="22"/>
          <w:szCs w:val="22"/>
        </w:rPr>
      </w:pPr>
      <w:r>
        <w:rPr>
          <w:rFonts w:cs="Times New Roman"/>
          <w:sz w:val="22"/>
          <w:szCs w:val="22"/>
        </w:rPr>
        <w:t>DISCUSSION</w:t>
      </w:r>
    </w:p>
    <w:p>
      <w:pPr>
        <w:pStyle w:val="Titre2"/>
        <w:numPr>
          <w:ilvl w:val="0"/>
          <w:numId w:val="0"/>
        </w:numPr>
        <w:ind w:left="1427" w:hanging="0"/>
        <w:rPr>
          <w:rFonts w:ascii="Times New Roman" w:hAnsi="Times New Roman" w:cs="Times New Roman"/>
          <w:sz w:val="22"/>
          <w:szCs w:val="22"/>
        </w:rPr>
      </w:pPr>
      <w:r>
        <w:rPr>
          <w:rFonts w:cs="Times New Roman" w:ascii="Times New Roman" w:hAnsi="Times New Roman"/>
          <w:sz w:val="22"/>
          <w:szCs w:val="22"/>
        </w:rPr>
        <w:t>Sur la recevabilité</w:t>
      </w:r>
    </w:p>
    <w:p>
      <w:pPr>
        <w:pStyle w:val="Normal"/>
        <w:rPr>
          <w:rFonts w:ascii="Times New Roman" w:hAnsi="Times New Roman" w:cs="Times New Roman"/>
          <w:sz w:val="22"/>
        </w:rPr>
      </w:pPr>
      <w:r>
        <w:rPr>
          <w:rFonts w:cs="Times New Roman" w:ascii="Times New Roman" w:hAnsi="Times New Roman"/>
          <w:sz w:val="22"/>
        </w:rPr>
        <w:t>L’article R. 312-1 du code de justice administrative prévoit que</w:t>
      </w:r>
    </w:p>
    <w:p>
      <w:pPr>
        <w:pStyle w:val="Citations"/>
        <w:rPr>
          <w:rFonts w:cs="Times New Roman"/>
        </w:rPr>
      </w:pPr>
      <w:r>
        <w:rPr>
          <w:rFonts w:cs="Times New Roman"/>
        </w:rPr>
        <w:t>Lorsqu'il n'en est pas disposé autrement par les dispositions de la section 2 du présent chapitre ou par un texte spécial, le tribunal administratif territorialement compétent est celui dans le ressort duquel a légalement son siège l'autorité qui, soit en vertu de son pouvoir propre, soit par délégation, a pris la décision attaquée . Lorsque l'acte a été signé par plusieurs autorités, le tribunal administratif compétent est celui dans le ressort duquel a son siège la première des autorités dénommées dans cet acte.</w:t>
      </w:r>
    </w:p>
    <w:p>
      <w:pPr>
        <w:pStyle w:val="Citations"/>
        <w:rPr>
          <w:rFonts w:cs="Times New Roman"/>
        </w:rPr>
      </w:pPr>
      <w:r>
        <w:rPr>
          <w:rFonts w:cs="Times New Roman"/>
        </w:rPr>
        <w:t>Sous les mêmes réserves en cas de recours préalable à celui qui a été introduit devant le tribunal administratif, la décision à retenir pour déterminer la compétence territoriale est celle qui a fait l'objet du recours administratif ou du pourvoi devant une juridiction incompétente.</w:t>
      </w:r>
    </w:p>
    <w:p>
      <w:pPr>
        <w:pStyle w:val="Citations"/>
        <w:rPr>
          <w:rFonts w:cs="Times New Roman"/>
        </w:rPr>
      </w:pPr>
      <w:r>
        <w:rPr>
          <w:rFonts w:cs="Times New Roman"/>
          <w:i w:val="false"/>
          <w:iCs w:val="false"/>
        </w:rPr>
        <w:t xml:space="preserve">La décision de refus initiale des conditions d’accueil ayant été prise par la directrice territoriale de </w:t>
        <w:tab/>
        <w:t xml:space="preserve">s, le tribunal administratif de </w:t>
        <w:tab/>
        <w:t>s est donc compétent pour connaître des litiges relatifs aux refus des conditions matérielles d’accueil, nonobstant le recours administratif obligatoire</w:t>
      </w:r>
    </w:p>
    <w:p>
      <w:pPr>
        <w:pStyle w:val="Citations"/>
        <w:rPr/>
      </w:pPr>
      <w:r>
        <w:rPr>
          <w:rFonts w:cs="Times New Roman"/>
          <w:i w:val="false"/>
          <w:iCs w:val="false"/>
        </w:rPr>
        <w:t xml:space="preserve">La présente requête qui est formulée en même temps qu’un référé suspension , est donc recevable, sans attendre le délai de deux mois prévu par cet article. </w:t>
      </w:r>
    </w:p>
    <w:p>
      <w:pPr>
        <w:pStyle w:val="Titre3"/>
        <w:numPr>
          <w:ilvl w:val="0"/>
          <w:numId w:val="0"/>
        </w:numPr>
        <w:ind w:left="720" w:hanging="0"/>
        <w:rPr/>
      </w:pPr>
      <w:r>
        <w:rPr>
          <w:rFonts w:cs="Times New Roman" w:ascii="Times New Roman" w:hAnsi="Times New Roman"/>
          <w:sz w:val="22"/>
          <w:szCs w:val="22"/>
        </w:rPr>
        <w:t>Sur la légalité externe</w:t>
      </w:r>
    </w:p>
    <w:p>
      <w:pPr>
        <w:pStyle w:val="Titre4"/>
        <w:rPr/>
      </w:pPr>
      <w:r>
        <w:rPr/>
        <w:t>Incompétence du signataire</w:t>
      </w:r>
    </w:p>
    <w:p>
      <w:pPr>
        <w:pStyle w:val="Normal"/>
        <w:jc w:val="both"/>
        <w:rPr/>
      </w:pPr>
      <w:r>
        <w:rPr>
          <w:rFonts w:cs="Times New Roman" w:ascii="Times New Roman" w:hAnsi="Times New Roman"/>
          <w:sz w:val="22"/>
        </w:rPr>
        <w:t>Les dispositions de l’article  R5223-21 du code du travail prévoient que « Le directeur général peut déléguer sa signature à tout agent de l'établissement exerçant des fonctions d'encadrement. »</w:t>
      </w:r>
    </w:p>
    <w:p>
      <w:pPr>
        <w:pStyle w:val="Normal"/>
        <w:jc w:val="both"/>
        <w:rPr/>
      </w:pPr>
      <w:r>
        <w:rPr>
          <w:rFonts w:cs="Times New Roman" w:ascii="Times New Roman" w:hAnsi="Times New Roman"/>
          <w:sz w:val="22"/>
        </w:rPr>
        <w:t>Or il ne ressort pas d’une décision régulièrement publiée que le signataire a reçu délégation de signature du directeur général pour statuer sur les demandes de rétablissement.</w:t>
      </w:r>
    </w:p>
    <w:p>
      <w:pPr>
        <w:pStyle w:val="Titre4"/>
        <w:rPr/>
      </w:pPr>
      <w:r>
        <w:rPr/>
        <w:t>Motivation insuffisante</w:t>
      </w:r>
    </w:p>
    <w:p>
      <w:pPr>
        <w:pStyle w:val="Normal"/>
        <w:jc w:val="both"/>
        <w:rPr/>
      </w:pPr>
      <w:r>
        <w:rPr>
          <w:rFonts w:cs="Times New Roman" w:ascii="Times New Roman" w:hAnsi="Times New Roman"/>
          <w:sz w:val="22"/>
        </w:rPr>
        <w:t xml:space="preserve">La décision de refus de rétablissement des conditions d’accueil est insuffisamment motivée puisqu’elle se borne à indiquer que je ne suis pas vulnérable et que je ne justifie pas d’un motif légitime pour l’abandon ou l’absence.                                                            </w:t>
      </w:r>
    </w:p>
    <w:p>
      <w:pPr>
        <w:pStyle w:val="Normal"/>
        <w:rPr>
          <w:rFonts w:ascii="Times New Roman" w:hAnsi="Times New Roman" w:cs="Times New Roman"/>
          <w:sz w:val="22"/>
        </w:rPr>
      </w:pPr>
      <w:r>
        <w:rPr>
          <w:rFonts w:cs="Times New Roman" w:ascii="Times New Roman" w:hAnsi="Times New Roman"/>
          <w:sz w:val="22"/>
        </w:rPr>
      </w:r>
    </w:p>
    <w:p>
      <w:pPr>
        <w:pStyle w:val="Titre4"/>
        <w:rPr/>
      </w:pPr>
      <w:r>
        <w:rPr/>
        <w:t>Absence d’examen individuel</w:t>
      </w:r>
    </w:p>
    <w:p>
      <w:pPr>
        <w:pStyle w:val="Corpsdetexte"/>
        <w:rPr/>
      </w:pPr>
      <w:r>
        <w:rPr>
          <w:rFonts w:ascii="Times New Roman" w:hAnsi="Times New Roman"/>
        </w:rPr>
        <w:t>La décision a été prise sans procéder à un examen individuel de ma situation.</w:t>
      </w:r>
      <w:r>
        <w:rPr>
          <w:rFonts w:ascii="Times New Roman" w:hAnsi="Times New Roman"/>
        </w:rPr>
        <w:t>$</w:t>
      </w:r>
    </w:p>
    <w:p>
      <w:pPr>
        <w:pStyle w:val="Titre2"/>
        <w:numPr>
          <w:ilvl w:val="0"/>
          <w:numId w:val="0"/>
        </w:numPr>
        <w:ind w:left="576" w:hanging="0"/>
        <w:rPr/>
      </w:pPr>
      <w:r>
        <w:rPr/>
        <w:t>Sur la légalité interne</w:t>
      </w:r>
    </w:p>
    <w:p>
      <w:pPr>
        <w:pStyle w:val="Normal"/>
        <w:rPr/>
      </w:pPr>
      <w:r>
        <w:rPr/>
      </w:r>
    </w:p>
    <w:p>
      <w:pPr>
        <w:pStyle w:val="Titre3"/>
        <w:numPr>
          <w:ilvl w:val="0"/>
          <w:numId w:val="0"/>
        </w:numPr>
        <w:ind w:left="720" w:hanging="0"/>
        <w:rPr/>
      </w:pPr>
      <w:r>
        <w:rPr/>
        <w:t xml:space="preserve"> </w:t>
      </w:r>
      <w:r>
        <w:rPr/>
        <w:t>sur les dispositions de l’article 20 de la directive 2013/33/UE</w:t>
      </w:r>
    </w:p>
    <w:p>
      <w:pPr>
        <w:pStyle w:val="Corpsdetexte"/>
        <w:jc w:val="both"/>
        <w:rPr/>
      </w:pPr>
      <w:r>
        <w:rPr>
          <w:rFonts w:cs="Times New Roman" w:ascii="Times New Roman" w:hAnsi="Times New Roman"/>
          <w:sz w:val="22"/>
        </w:rPr>
        <w:t>l’article 20§1 de la directive 2013/33UE prévoit que :</w:t>
      </w:r>
    </w:p>
    <w:p>
      <w:pPr>
        <w:pStyle w:val="Citations"/>
        <w:spacing w:before="0" w:after="0"/>
        <w:rPr/>
      </w:pPr>
      <w:r>
        <w:rPr/>
        <w:t>Les États membres peuvent limiter ou, dans des cas exceptionnels et dûment justifiés, retirer le bénéfice des conditions matérielles d’accueil lorsqu’un demandeur:</w:t>
      </w:r>
    </w:p>
    <w:tbl>
      <w:tblPr>
        <w:tblW w:w="5000" w:type="pct"/>
        <w:jc w:val="left"/>
        <w:tblInd w:w="0" w:type="dxa"/>
        <w:tblCellMar>
          <w:top w:w="0" w:type="dxa"/>
          <w:left w:w="0" w:type="dxa"/>
          <w:bottom w:w="0" w:type="dxa"/>
          <w:right w:w="0" w:type="dxa"/>
        </w:tblCellMar>
      </w:tblPr>
      <w:tblGrid>
        <w:gridCol w:w="836"/>
        <w:gridCol w:w="75"/>
        <w:gridCol w:w="32"/>
        <w:gridCol w:w="8204"/>
      </w:tblGrid>
      <w:tr>
        <w:trPr/>
        <w:tc>
          <w:tcPr>
            <w:tcW w:w="943" w:type="dxa"/>
            <w:gridSpan w:val="3"/>
            <w:tcBorders/>
            <w:shd w:fill="auto" w:val="clear"/>
          </w:tcPr>
          <w:p>
            <w:pPr>
              <w:pStyle w:val="Citations"/>
              <w:spacing w:before="0" w:after="0"/>
              <w:rPr/>
            </w:pPr>
            <w:r>
              <w:rPr/>
              <w:t>a)</w:t>
            </w:r>
          </w:p>
        </w:tc>
        <w:tc>
          <w:tcPr>
            <w:tcW w:w="8204" w:type="dxa"/>
            <w:tcBorders/>
            <w:shd w:fill="auto" w:val="clear"/>
          </w:tcPr>
          <w:p>
            <w:pPr>
              <w:pStyle w:val="Citations"/>
              <w:spacing w:before="0" w:after="0"/>
              <w:rPr/>
            </w:pPr>
            <w:r>
              <w:rPr/>
              <w:t>abandonne le lieu de résidence fixé par l’autorité compétente sans en avoir informé ladite autorité ou, si une autorisation est nécessaire à cet effet, sans l’avoir obtenue; ou</w:t>
            </w:r>
          </w:p>
        </w:tc>
      </w:tr>
      <w:tr>
        <w:trPr/>
        <w:tc>
          <w:tcPr>
            <w:tcW w:w="911" w:type="dxa"/>
            <w:gridSpan w:val="2"/>
            <w:tcBorders/>
            <w:shd w:fill="auto" w:val="clear"/>
          </w:tcPr>
          <w:p>
            <w:pPr>
              <w:pStyle w:val="Citations"/>
              <w:spacing w:before="0" w:after="0"/>
              <w:rPr/>
            </w:pPr>
            <w:r>
              <w:rPr/>
              <w:t>b)</w:t>
            </w:r>
          </w:p>
        </w:tc>
        <w:tc>
          <w:tcPr>
            <w:tcW w:w="8236" w:type="dxa"/>
            <w:gridSpan w:val="2"/>
            <w:tcBorders/>
            <w:shd w:fill="auto" w:val="clear"/>
          </w:tcPr>
          <w:p>
            <w:pPr>
              <w:pStyle w:val="Citations"/>
              <w:spacing w:before="0" w:after="0"/>
              <w:rPr/>
            </w:pPr>
            <w:r>
              <w:rPr/>
              <w:t>ne respecte pas l’obligation de se présenter aux autorités, ne répond pas aux demandes d’information ou ne se rend pas aux entretiens personnels concernant la procédure d’asile dans un délai raisonnable fixé par le droit national; ou</w:t>
            </w:r>
          </w:p>
        </w:tc>
      </w:tr>
      <w:tr>
        <w:trPr/>
        <w:tc>
          <w:tcPr>
            <w:tcW w:w="836" w:type="dxa"/>
            <w:tcBorders/>
            <w:shd w:fill="auto" w:val="clear"/>
          </w:tcPr>
          <w:p>
            <w:pPr>
              <w:pStyle w:val="Citations"/>
              <w:spacing w:before="0" w:after="0"/>
              <w:rPr/>
            </w:pPr>
            <w:r>
              <w:rPr/>
              <w:t>c)</w:t>
            </w:r>
          </w:p>
        </w:tc>
        <w:tc>
          <w:tcPr>
            <w:tcW w:w="8311" w:type="dxa"/>
            <w:gridSpan w:val="3"/>
            <w:tcBorders/>
            <w:shd w:fill="auto" w:val="clear"/>
          </w:tcPr>
          <w:p>
            <w:pPr>
              <w:pStyle w:val="Citations"/>
              <w:spacing w:before="0" w:after="0"/>
              <w:rPr/>
            </w:pPr>
            <w:r>
              <w:rPr/>
              <w:t>a introduit une demande ultérieure telle que définie à l’article 2, point q), de la directive 2013/32/UE.</w:t>
            </w:r>
          </w:p>
        </w:tc>
      </w:tr>
    </w:tbl>
    <w:p>
      <w:pPr>
        <w:pStyle w:val="Citations"/>
        <w:spacing w:before="0" w:after="0"/>
        <w:rPr/>
      </w:pPr>
      <w:r>
        <w:rPr/>
        <w:t>En ce qui concerne les cas visés aux points a) et b), lorsque le demandeur est retrouvé ou se présente volontairement aux autorités compétentes, une décision dûment motivée, fondée sur les raisons de sa disparition, est prise quant au rétablissement du bénéfice de certaines ou de l’ensemble des conditions matérielles d’accueil retirées ou réduites.</w:t>
      </w:r>
    </w:p>
    <w:p>
      <w:pPr>
        <w:pStyle w:val="Corpsdetexte"/>
        <w:jc w:val="both"/>
        <w:rPr>
          <w:rFonts w:ascii="Times New Roman" w:hAnsi="Times New Roman" w:cs="Times New Roman"/>
          <w:sz w:val="22"/>
        </w:rPr>
      </w:pPr>
      <w:r>
        <w:rPr>
          <w:rFonts w:cs="Times New Roman" w:ascii="Times New Roman" w:hAnsi="Times New Roman"/>
          <w:sz w:val="22"/>
        </w:rPr>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2"/>
        </w:rPr>
        <w:t>Il ressort clairement de ces dispositions qu’un Etat-membre peut en principe  limiter (c’est à dire réduire) et par exception retirer  le bénéfice des conditions d’accueil mais qu’il doit statuer quant au rétablissement de certaines ou de l’ensemble des conditions matérielles d’accueil retirées ou réduites</w:t>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2"/>
        </w:rPr>
        <w:t>et le paragraphe 5 du même article prévoit que</w:t>
      </w:r>
    </w:p>
    <w:p>
      <w:pPr>
        <w:pStyle w:val="Citations"/>
        <w:rPr/>
      </w:pPr>
      <w:r>
        <w:rPr/>
        <w:t xml:space="preserve">5.   Les décisions portant limitation ou retrait du bénéfice des conditions matérielles d’accueil ou les sanctions visées aux paragraphes 1, 2, 3 et 4 du présent article sont prises au cas par cas, objectivement et impartialement et sont motivées. Elles sont fondées sur la situation particulière de la personne concernée, en particulier dans le cas des personnes visées à l’article 21, compte tenu du principe de proportionnalité. </w:t>
      </w:r>
      <w:r>
        <w:rPr>
          <w:u w:val="single"/>
        </w:rPr>
        <w:t xml:space="preserve">Les États membres assurent en toutes circonstances l’accès aux soins médicaux conformément à l’article 19 et garantissent un niveau de vie digne à tous les demandeurs. </w:t>
      </w:r>
    </w:p>
    <w:p>
      <w:pPr>
        <w:pStyle w:val="Titre3"/>
        <w:numPr>
          <w:ilvl w:val="0"/>
          <w:numId w:val="0"/>
        </w:numPr>
        <w:ind w:left="720" w:hanging="0"/>
        <w:rPr/>
      </w:pPr>
      <w:r>
        <w:rPr>
          <w:u w:val="single"/>
        </w:rPr>
        <w:t>S</w:t>
      </w:r>
      <w:r>
        <w:rPr>
          <w:u w:val="single"/>
        </w:rPr>
        <w:t>ur la jurisprudence de la Cour de justice de l’Union européenne</w:t>
      </w:r>
    </w:p>
    <w:p>
      <w:pPr>
        <w:pStyle w:val="Normal"/>
        <w:spacing w:lineRule="atLeast" w:line="200" w:before="0" w:after="57"/>
        <w:ind w:left="0" w:hanging="0"/>
        <w:jc w:val="both"/>
        <w:rPr>
          <w:rFonts w:ascii="Times New Roman" w:hAnsi="Times New Roman"/>
        </w:rPr>
      </w:pPr>
      <w:r>
        <w:rPr>
          <w:rFonts w:eastAsia="Garamond" w:cs="Garamond" w:ascii="Times New Roman" w:hAnsi="Times New Roman"/>
          <w:sz w:val="24"/>
          <w:szCs w:val="24"/>
          <w:lang w:val="fr-FR"/>
        </w:rPr>
        <w:t xml:space="preserve">La Cour de Justice de l’Union européenne </w:t>
      </w:r>
      <w:r>
        <w:rPr>
          <w:rFonts w:eastAsia="Garamond" w:cs="Garamond" w:ascii="Times New Roman" w:hAnsi="Times New Roman"/>
          <w:sz w:val="24"/>
          <w:szCs w:val="24"/>
          <w:lang w:val="fr-FR"/>
        </w:rPr>
        <w:t>a, dans ses arrêts Cimade-Gisti (c-179/11), Saciri (C-79/13), Jawo (</w:t>
      </w:r>
      <w:r>
        <w:rPr>
          <w:rFonts w:eastAsia="Garamond" w:cs="Garamond" w:ascii="Times New Roman" w:hAnsi="Times New Roman"/>
          <w:b w:val="false"/>
          <w:i w:val="false"/>
          <w:caps w:val="false"/>
          <w:smallCaps w:val="false"/>
          <w:color w:val="000000"/>
          <w:spacing w:val="0"/>
          <w:sz w:val="24"/>
          <w:szCs w:val="24"/>
          <w:lang w:val="fr-FR"/>
        </w:rPr>
        <w:t>C</w:t>
        <w:noBreakHyphen/>
        <w:t>163/17</w:t>
      </w:r>
      <w:r>
        <w:rPr>
          <w:rFonts w:eastAsia="Garamond" w:cs="Garamond" w:ascii="Times New Roman" w:hAnsi="Times New Roman"/>
          <w:sz w:val="24"/>
          <w:szCs w:val="24"/>
          <w:lang w:val="fr-FR"/>
        </w:rPr>
        <w:t>) et Haqbin (C-233/18), dit pour droit que les directives accueil devaient être lues à la lumière de l’article 1</w:t>
      </w:r>
      <w:r>
        <w:rPr>
          <w:rFonts w:eastAsia="Garamond" w:cs="Garamond" w:ascii="Times New Roman" w:hAnsi="Times New Roman"/>
          <w:sz w:val="24"/>
          <w:szCs w:val="24"/>
          <w:vertAlign w:val="superscript"/>
          <w:lang w:val="fr-FR"/>
        </w:rPr>
        <w:t>er</w:t>
      </w:r>
      <w:r>
        <w:rPr>
          <w:rFonts w:eastAsia="Garamond" w:cs="Garamond" w:ascii="Times New Roman" w:hAnsi="Times New Roman"/>
          <w:sz w:val="24"/>
          <w:szCs w:val="24"/>
          <w:lang w:val="fr-FR"/>
        </w:rPr>
        <w:t xml:space="preserve"> de la Charte des droits fondamentaux de l’Union qui pose le principe de dignité et que les Etats-membres doivent fournir des conditions d’accueil permettant aux personnes de mener une vie digne.</w:t>
      </w:r>
    </w:p>
    <w:p>
      <w:pPr>
        <w:pStyle w:val="Citations"/>
        <w:rPr>
          <w:rFonts w:ascii="Times New Roman" w:hAnsi="Times New Roman"/>
        </w:rPr>
      </w:pPr>
      <w:bookmarkStart w:id="5" w:name="point461"/>
      <w:bookmarkEnd w:id="5"/>
      <w:r>
        <w:rPr>
          <w:rFonts w:eastAsia="Garamond" w:cs="Garamond" w:ascii="Times New Roman" w:hAnsi="Times New Roman"/>
          <w:strike w:val="false"/>
          <w:dstrike w:val="false"/>
          <w:color w:val="006699"/>
          <w:u w:val="none"/>
          <w:effect w:val="none"/>
          <w:lang w:val="fr-FR"/>
        </w:rPr>
        <w:t>46</w:t>
      </w:r>
      <w:r>
        <w:rPr>
          <w:rFonts w:eastAsia="Garamond" w:cs="Garamond" w:ascii="Times New Roman" w:hAnsi="Times New Roman"/>
          <w:lang w:val="fr-FR"/>
        </w:rPr>
        <w:t>      S’agissant plus particulièrement de l’exigence relative à la préservation de la dignité du niveau de vie, il ressort du considérant 35 de la directive 2013/33 que cette dernière vise à garantir le plein respect de la dignité humaine et à favoriser l’application, notamment, de l’article 1</w:t>
      </w:r>
      <w:r>
        <w:rPr>
          <w:rFonts w:eastAsia="Garamond" w:cs="Garamond" w:ascii="Times New Roman" w:hAnsi="Times New Roman"/>
          <w:position w:val="8"/>
          <w:sz w:val="19"/>
          <w:lang w:val="fr-FR"/>
        </w:rPr>
        <w:t>er </w:t>
      </w:r>
      <w:r>
        <w:rPr>
          <w:rFonts w:eastAsia="Garamond" w:cs="Garamond" w:ascii="Times New Roman" w:hAnsi="Times New Roman"/>
          <w:lang w:val="fr-FR"/>
        </w:rPr>
        <w:t>de la charte des droits fondamentaux et doit être mise en œuvre en conséquence. À cet égard, le respect de la dignité humaine, au sens de cet article, exige que la personne concernée ne se trouve pas dans une situation de dénuement matériel extrême qui ne lui permettrait pas de faire face à ses besoins les plus élémentaires, tels que ceux de se loger, de se nourrir, de se vêtir et de se laver, et qui porterait ainsi atteinte à sa santé physique ou mentale ou la mettrait dans un état de dégradation incompatible avec cette dignité (voir, en ce sens, arrêt du 19 mars 2019, Jawo, C</w:t>
        <w:noBreakHyphen/>
        <w:t>163/17, EU:C:2019:218, point 92 et jurisprudence citée).</w:t>
      </w:r>
    </w:p>
    <w:p>
      <w:pPr>
        <w:pStyle w:val="Titre3"/>
        <w:numPr>
          <w:ilvl w:val="0"/>
          <w:numId w:val="0"/>
        </w:numPr>
        <w:ind w:left="720" w:hanging="0"/>
        <w:rPr/>
      </w:pPr>
      <w:r>
        <w:rPr/>
        <w:t>Sur la jurisprudence de la Cour européenne des droits de l’Homme</w:t>
      </w:r>
    </w:p>
    <w:p>
      <w:pPr>
        <w:pStyle w:val="Citations"/>
        <w:widowControl w:val="false"/>
        <w:bidi w:val="0"/>
        <w:spacing w:before="0" w:after="283"/>
        <w:ind w:left="57" w:right="567" w:hanging="0"/>
        <w:jc w:val="both"/>
        <w:rPr>
          <w:rFonts w:ascii="Times New Roman" w:hAnsi="Times New Roman"/>
        </w:rPr>
      </w:pPr>
      <w:r>
        <w:rPr>
          <w:rFonts w:ascii="Times New Roman" w:hAnsi="Times New Roman"/>
          <w:i w:val="false"/>
          <w:iCs w:val="false"/>
          <w:sz w:val="24"/>
          <w:szCs w:val="24"/>
        </w:rPr>
        <w:t xml:space="preserve">La </w:t>
      </w:r>
      <w:r>
        <w:rPr>
          <w:rFonts w:ascii="Times New Roman" w:hAnsi="Times New Roman"/>
          <w:i w:val="false"/>
          <w:iCs w:val="false"/>
          <w:sz w:val="24"/>
          <w:szCs w:val="24"/>
        </w:rPr>
        <w:t>C</w:t>
      </w:r>
      <w:r>
        <w:rPr>
          <w:rFonts w:ascii="Times New Roman" w:hAnsi="Times New Roman"/>
          <w:i w:val="false"/>
          <w:iCs w:val="false"/>
          <w:sz w:val="24"/>
          <w:szCs w:val="24"/>
        </w:rPr>
        <w:t>our européenne des droits de l’Homme dans le récent arrêt N.H et autres contre France arrive à la même conclusion au regard de l’article 3 de la CEDH en considérant que :</w:t>
      </w:r>
    </w:p>
    <w:p>
      <w:pPr>
        <w:pStyle w:val="Citations"/>
        <w:rPr/>
      </w:pPr>
      <w:r>
        <w:rPr>
          <w:rFonts w:ascii="Times New Roman" w:hAnsi="Times New Roman"/>
          <w:b w:val="false"/>
          <w:i/>
          <w:iCs/>
          <w:caps w:val="false"/>
          <w:smallCaps w:val="false"/>
          <w:color w:val="000000"/>
          <w:spacing w:val="0"/>
          <w:sz w:val="22"/>
          <w:szCs w:val="22"/>
        </w:rPr>
        <w:t>160.  La Cour estime nécessaire de rappeler que l’article 3 ne saurait être interprété comme obligeant les Hautes Parties contractantes à garantir un droit au logement à toute personne relevant de leur juridiction (Chapman c. Royaume-Uni [GC], no </w:t>
      </w:r>
      <w:hyperlink r:id="rId9">
        <w:r>
          <w:rPr>
            <w:rStyle w:val="LienInternet"/>
            <w:rFonts w:ascii="Times New Roman" w:hAnsi="Times New Roman"/>
            <w:b w:val="false"/>
            <w:i/>
            <w:iCs/>
            <w:caps w:val="false"/>
            <w:smallCaps w:val="false"/>
            <w:color w:val="0069D6"/>
            <w:spacing w:val="0"/>
            <w:sz w:val="22"/>
            <w:szCs w:val="22"/>
            <w:u w:val="single"/>
          </w:rPr>
          <w:t>27238/95</w:t>
        </w:r>
      </w:hyperlink>
      <w:r>
        <w:rPr>
          <w:rFonts w:ascii="Times New Roman" w:hAnsi="Times New Roman"/>
          <w:b w:val="false"/>
          <w:i/>
          <w:iCs/>
          <w:caps w:val="false"/>
          <w:smallCaps w:val="false"/>
          <w:color w:val="000000"/>
          <w:spacing w:val="0"/>
          <w:sz w:val="22"/>
          <w:szCs w:val="22"/>
        </w:rPr>
        <w:t>, § 99, CEDH 2001</w:t>
        <w:noBreakHyphen/>
        <w:t>I). Il ne saurait non plus être tiré de l’article 3 un devoir général de fournir aux réfugiés une assistance financière pour que ceux-ci puissent maintenir un certain niveau de vie (Müslim c. Turquie, no </w:t>
      </w:r>
      <w:hyperlink r:id="rId10">
        <w:r>
          <w:rPr>
            <w:rStyle w:val="LienInternet"/>
            <w:rFonts w:ascii="Times New Roman" w:hAnsi="Times New Roman"/>
            <w:b w:val="false"/>
            <w:i/>
            <w:iCs/>
            <w:caps w:val="false"/>
            <w:smallCaps w:val="false"/>
            <w:color w:val="0069D6"/>
            <w:spacing w:val="0"/>
            <w:sz w:val="22"/>
            <w:szCs w:val="22"/>
            <w:u w:val="single"/>
          </w:rPr>
          <w:t>53566/99</w:t>
        </w:r>
      </w:hyperlink>
      <w:r>
        <w:rPr>
          <w:rFonts w:ascii="Times New Roman" w:hAnsi="Times New Roman"/>
          <w:b w:val="false"/>
          <w:i/>
          <w:iCs/>
          <w:caps w:val="false"/>
          <w:smallCaps w:val="false"/>
          <w:color w:val="000000"/>
          <w:spacing w:val="0"/>
          <w:sz w:val="22"/>
          <w:szCs w:val="22"/>
        </w:rPr>
        <w:t>, § 85, 26 avril 2005).</w:t>
      </w:r>
    </w:p>
    <w:p>
      <w:pPr>
        <w:pStyle w:val="Citations"/>
        <w:rPr>
          <w:rFonts w:ascii="Times New Roman" w:hAnsi="Times New Roman"/>
        </w:rPr>
      </w:pPr>
      <w:r>
        <w:rPr>
          <w:rFonts w:ascii="Times New Roman" w:hAnsi="Times New Roman"/>
        </w:rPr>
        <w:t>161.  La Cour a cependant considéré, dans une affaire concernant un autre État membre de l’Union européenne, que la question à trancher s’agissant de demandeurs d’asile se plaignant de leur situation de dénuement total ne se posait pas en ces termes. Ainsi qu’il ressort du cadre juridique décrit ci</w:t>
        <w:noBreakHyphen/>
        <w:t>dessus, l’obligation de fournir un hébergement ou des conditions matérielles décentes aux demandeurs d’asile démunis fait à ce jour partie du droit positif et pèse sur les autorités de l’État défendeur concerné en vertu des termes mêmes de la législation nationale qui transpose le droit de l’Union européenne, à savoir la « directive Accueil » (voir paragraphe 95 ci</w:t>
        <w:noBreakHyphen/>
        <w:t>dessus) (M.S.S. c. Belgique et Grèce, précité, § 250).</w:t>
      </w:r>
    </w:p>
    <w:p>
      <w:pPr>
        <w:pStyle w:val="Citations"/>
        <w:rPr/>
      </w:pPr>
      <w:r>
        <w:rPr>
          <w:rFonts w:ascii="Times New Roman" w:hAnsi="Times New Roman"/>
          <w:b w:val="false"/>
          <w:i/>
          <w:iCs/>
          <w:caps w:val="false"/>
          <w:smallCaps w:val="false"/>
          <w:color w:val="000000"/>
          <w:spacing w:val="0"/>
          <w:sz w:val="22"/>
          <w:szCs w:val="22"/>
        </w:rPr>
        <w:t>162.  La Cour rappelle ensuite que les demandeurs d’asile peuvent être considérés comme vulnérables du fait de leur parcours migratoire et des expériences traumatiques qu’ils peuvent avoir vécues en amont (M.S.S. c. Belgique et Grèce, précité, § 232 ; Ilias et Ahmed c. Hongrie, ([GC], no </w:t>
      </w:r>
      <w:hyperlink r:id="rId11">
        <w:r>
          <w:rPr>
            <w:rStyle w:val="LienInternet"/>
            <w:rFonts w:ascii="Times New Roman" w:hAnsi="Times New Roman"/>
            <w:b w:val="false"/>
            <w:i/>
            <w:iCs/>
            <w:caps w:val="false"/>
            <w:smallCaps w:val="false"/>
            <w:color w:val="0069D6"/>
            <w:spacing w:val="0"/>
            <w:sz w:val="22"/>
            <w:szCs w:val="22"/>
            <w:u w:val="single"/>
          </w:rPr>
          <w:t>47287/15</w:t>
        </w:r>
      </w:hyperlink>
      <w:r>
        <w:rPr>
          <w:rFonts w:ascii="Times New Roman" w:hAnsi="Times New Roman"/>
          <w:b w:val="false"/>
          <w:i/>
          <w:iCs/>
          <w:caps w:val="false"/>
          <w:smallCaps w:val="false"/>
          <w:color w:val="000000"/>
          <w:spacing w:val="0"/>
          <w:sz w:val="22"/>
          <w:szCs w:val="22"/>
        </w:rPr>
        <w:t>, § 192, 21 novembre 2019). La Cour note que le besoin de protéger les demandeurs d’asile fait l’objet d’un large consensus à l’échelle internationale et européenne, comme cela ressort de la Convention de Genève, du mandat et des activités du Haut</w:t>
        <w:noBreakHyphen/>
        <w:t>Commissariat des Nations unies pour les réfugiés (HCR), ainsi que des normes figurant dans la « directive Accueil » de l’Union européenne (voir M.S.S. c. Belgique et Grèce, précité, § 251).</w:t>
      </w:r>
    </w:p>
    <w:p>
      <w:pPr>
        <w:pStyle w:val="Citations"/>
        <w:rPr/>
      </w:pPr>
      <w:r>
        <w:rPr>
          <w:rFonts w:ascii="Times New Roman" w:hAnsi="Times New Roman"/>
          <w:b w:val="false"/>
          <w:i/>
          <w:iCs/>
          <w:caps w:val="false"/>
          <w:smallCaps w:val="false"/>
          <w:color w:val="000000"/>
          <w:spacing w:val="0"/>
          <w:sz w:val="22"/>
          <w:szCs w:val="22"/>
        </w:rPr>
        <w:t>163.  Elle rappelle qu’elle n’a pas exclu la possibilité que la responsabilité de l’État soit engagée sous l’angle de l’article 3 par un traitement dans le cadre duquel un requérant totalement dépendant de l’aide publique serait confronté à l’indifférence des autorités alors qu’il se trouverait dans une situation de privation ou de manque à ce point grave qu’elle serait incompatible avec la dignité humaine (Budina c. Russie (déc.), no </w:t>
      </w:r>
      <w:hyperlink r:id="rId12">
        <w:r>
          <w:rPr>
            <w:rStyle w:val="LienInternet"/>
            <w:rFonts w:ascii="Times New Roman" w:hAnsi="Times New Roman"/>
            <w:b w:val="false"/>
            <w:i/>
            <w:iCs/>
            <w:caps w:val="false"/>
            <w:smallCaps w:val="false"/>
            <w:color w:val="0069D6"/>
            <w:spacing w:val="0"/>
            <w:sz w:val="22"/>
            <w:szCs w:val="22"/>
            <w:u w:val="single"/>
          </w:rPr>
          <w:t>45603/05</w:t>
        </w:r>
      </w:hyperlink>
      <w:r>
        <w:rPr>
          <w:rFonts w:ascii="Times New Roman" w:hAnsi="Times New Roman"/>
          <w:b w:val="false"/>
          <w:i/>
          <w:iCs/>
          <w:caps w:val="false"/>
          <w:smallCaps w:val="false"/>
          <w:color w:val="000000"/>
          <w:spacing w:val="0"/>
          <w:sz w:val="22"/>
          <w:szCs w:val="22"/>
        </w:rPr>
        <w:t>, 18 juin 2009).</w:t>
      </w:r>
    </w:p>
    <w:p>
      <w:pPr>
        <w:pStyle w:val="Citations"/>
        <w:rPr/>
      </w:pPr>
      <w:r>
        <w:rPr>
          <w:rFonts w:ascii="Times New Roman" w:hAnsi="Times New Roman"/>
          <w:b w:val="false"/>
          <w:i/>
          <w:iCs/>
          <w:caps w:val="false"/>
          <w:smallCaps w:val="false"/>
          <w:color w:val="000000"/>
          <w:spacing w:val="0"/>
          <w:sz w:val="22"/>
          <w:szCs w:val="22"/>
        </w:rPr>
        <w:t>164.  La Cour a déjà jugé que la gravité de la situation de dénuement dans laquelle s’était trouvé un requérant, demandeur d’asile, resté plusieurs mois dans l’incapacité à répondre à ses besoins les plus élémentaires, entendus comme se nourrir, se laver et se loger, dans l’angoisse permanente d’être attaqué et volé, dans l’absence totale de perspective de voir sa situation s’améliorer (M.S.S. c. Belgique et Grèce, précité, § 254) et combinée à l’inertie des autorités compétentes en matière d’asile avaient emporté violation de l’article 3 de la Convention (M.S.S. c. Belgique et Grèce, précité, §§ 262</w:t>
        <w:noBreakHyphen/>
        <w:t>263 ; voir postérieurement à M.S.S. c. Belgique et Grèce, précité : Sufi et Elmi c. Royaume-Uni, no </w:t>
      </w:r>
      <w:hyperlink r:id="rId13">
        <w:r>
          <w:rPr>
            <w:rStyle w:val="LienInternet"/>
            <w:rFonts w:ascii="Times New Roman" w:hAnsi="Times New Roman"/>
            <w:b w:val="false"/>
            <w:i/>
            <w:iCs/>
            <w:caps w:val="false"/>
            <w:smallCaps w:val="false"/>
            <w:color w:val="0069D6"/>
            <w:spacing w:val="0"/>
            <w:sz w:val="22"/>
            <w:szCs w:val="22"/>
            <w:u w:val="single"/>
          </w:rPr>
          <w:t>8319/07</w:t>
        </w:r>
      </w:hyperlink>
      <w:r>
        <w:rPr>
          <w:rFonts w:ascii="Times New Roman" w:hAnsi="Times New Roman"/>
          <w:b w:val="false"/>
          <w:i/>
          <w:iCs/>
          <w:caps w:val="false"/>
          <w:smallCaps w:val="false"/>
          <w:color w:val="000000"/>
          <w:spacing w:val="0"/>
          <w:sz w:val="22"/>
          <w:szCs w:val="22"/>
        </w:rPr>
        <w:t> et no </w:t>
      </w:r>
      <w:hyperlink r:id="rId14">
        <w:r>
          <w:rPr>
            <w:rStyle w:val="LienInternet"/>
            <w:rFonts w:ascii="Times New Roman" w:hAnsi="Times New Roman"/>
            <w:b w:val="false"/>
            <w:i/>
            <w:iCs/>
            <w:caps w:val="false"/>
            <w:smallCaps w:val="false"/>
            <w:color w:val="0069D6"/>
            <w:spacing w:val="0"/>
            <w:sz w:val="22"/>
            <w:szCs w:val="22"/>
            <w:u w:val="single"/>
          </w:rPr>
          <w:t>11449/07</w:t>
        </w:r>
      </w:hyperlink>
      <w:r>
        <w:rPr>
          <w:rFonts w:ascii="Times New Roman" w:hAnsi="Times New Roman"/>
          <w:b w:val="false"/>
          <w:i/>
          <w:iCs/>
          <w:caps w:val="false"/>
          <w:smallCaps w:val="false"/>
          <w:color w:val="000000"/>
          <w:spacing w:val="0"/>
          <w:sz w:val="22"/>
          <w:szCs w:val="22"/>
        </w:rPr>
        <w:t>, § 283, 28 juin 2011, et F.H. c. Grèce, no </w:t>
      </w:r>
      <w:hyperlink r:id="rId15">
        <w:r>
          <w:rPr>
            <w:rStyle w:val="LienInternet"/>
            <w:rFonts w:ascii="Times New Roman" w:hAnsi="Times New Roman"/>
            <w:b w:val="false"/>
            <w:i/>
            <w:iCs/>
            <w:caps w:val="false"/>
            <w:smallCaps w:val="false"/>
            <w:color w:val="0069D6"/>
            <w:spacing w:val="0"/>
            <w:sz w:val="22"/>
            <w:szCs w:val="22"/>
            <w:u w:val="single"/>
          </w:rPr>
          <w:t>78456/11</w:t>
        </w:r>
      </w:hyperlink>
      <w:r>
        <w:rPr>
          <w:rFonts w:ascii="Times New Roman" w:hAnsi="Times New Roman"/>
          <w:b w:val="false"/>
          <w:i/>
          <w:iCs/>
          <w:caps w:val="false"/>
          <w:smallCaps w:val="false"/>
          <w:color w:val="000000"/>
          <w:spacing w:val="0"/>
          <w:sz w:val="22"/>
          <w:szCs w:val="22"/>
        </w:rPr>
        <w:t>, §§ 107</w:t>
        <w:noBreakHyphen/>
        <w:t>111, 31 juillet 2014</w:t>
      </w:r>
    </w:p>
    <w:p>
      <w:pPr>
        <w:pStyle w:val="Corpsdetexte"/>
        <w:rPr>
          <w:rFonts w:ascii="Times New Roman" w:hAnsi="Times New Roman"/>
        </w:rPr>
      </w:pPr>
      <w:r>
        <w:rPr>
          <w:rFonts w:ascii="Times New Roman" w:hAnsi="Times New Roman"/>
        </w:rPr>
        <w:t>Après avoir regardé les situations d’espèce, elle conclut que :</w:t>
      </w:r>
    </w:p>
    <w:p>
      <w:pPr>
        <w:pStyle w:val="Citations"/>
        <w:rPr>
          <w:rFonts w:ascii="Times New Roman" w:hAnsi="Times New Roman"/>
        </w:rPr>
      </w:pPr>
      <w:r>
        <w:rPr>
          <w:rFonts w:ascii="Times New Roman" w:hAnsi="Times New Roman"/>
          <w:b w:val="false"/>
          <w:bCs w:val="false"/>
          <w:i/>
          <w:iCs/>
          <w:caps w:val="false"/>
          <w:smallCaps w:val="false"/>
          <w:color w:val="000000"/>
          <w:spacing w:val="0"/>
          <w:sz w:val="22"/>
          <w:szCs w:val="22"/>
        </w:rPr>
        <w:t>184.  Au vu de ce qui précède, la Cour constate que les autorités françaises ont manqué à l’encontre des requérants à leurs obligations prévues par le droit interne. En conséquence, la Cour considère qu’elles doivent être tenues pour responsables des conditions dans lesquelles i</w:t>
      </w:r>
      <w:r>
        <w:rPr>
          <w:rFonts w:ascii="Times New Roman" w:hAnsi="Times New Roman"/>
          <w:b w:val="false"/>
          <w:bCs w:val="false"/>
          <w:i/>
          <w:iCs/>
          <w:caps w:val="false"/>
          <w:smallCaps w:val="false"/>
          <w:color w:val="000000"/>
          <w:spacing w:val="0"/>
          <w:sz w:val="22"/>
          <w:szCs w:val="22"/>
          <w:u w:val="single"/>
        </w:rPr>
        <w:t>ls se sont trouvés pendant des mois</w:t>
      </w:r>
      <w:r>
        <w:rPr>
          <w:rFonts w:ascii="Times New Roman" w:hAnsi="Times New Roman"/>
          <w:b w:val="false"/>
          <w:bCs w:val="false"/>
          <w:i/>
          <w:iCs/>
          <w:caps w:val="false"/>
          <w:smallCaps w:val="false"/>
          <w:color w:val="000000"/>
          <w:spacing w:val="0"/>
          <w:sz w:val="22"/>
          <w:szCs w:val="22"/>
        </w:rPr>
        <w:t xml:space="preserve">, vivant dans la rue, sans ressources, sans accès à des sanitaires, ne disposant d’aucun moyen de subvenir à leurs besoins essentiels et dans l’angoisse permanente d’être attaqués et volés. La Cour estime que les requérants ont été victimes d’un traitement dégradant témoignant d’un manque de respect pour leur dignité et que cette situation a, sans aucun doute, suscité chez eux des sentiments de peur, d’angoisse ou d’infériorité propres à conduire au désespoir. Elle considère que de telles conditions d’existence, combinées avec l’absence de réponse adéquate des autorités françaises qu’ils ont alertées à maintes reprises sur leur impossibilité de jouir en pratique de leurs droits et donc de pourvoir à leurs besoins essentiels, et </w:t>
      </w:r>
      <w:r>
        <w:rPr>
          <w:rFonts w:ascii="Times New Roman" w:hAnsi="Times New Roman"/>
          <w:b w:val="false"/>
          <w:bCs w:val="false"/>
          <w:i/>
          <w:iCs/>
          <w:caps w:val="false"/>
          <w:smallCaps w:val="false"/>
          <w:color w:val="000000"/>
          <w:spacing w:val="0"/>
          <w:sz w:val="22"/>
          <w:szCs w:val="22"/>
          <w:u w:val="single"/>
        </w:rPr>
        <w:t>le fait que les juridictions internes leur ont systématiquement opposé le manque de moyens dont disposaient les instances compétentes au regard de leurs conditions de jeunes majeurs isolés, en bonne santé et sans charge de famille, ont atteint le seuil de gravité requis par l’article 3 de la Convention.</w:t>
      </w:r>
    </w:p>
    <w:p>
      <w:pPr>
        <w:pStyle w:val="Corpsdetexte"/>
        <w:rPr/>
      </w:pPr>
      <w:r>
        <w:rPr>
          <w:rFonts w:ascii="Times New Roman" w:hAnsi="Times New Roman"/>
          <w:b w:val="false"/>
          <w:bCs w:val="false"/>
          <w:caps w:val="false"/>
          <w:smallCaps w:val="false"/>
          <w:color w:val="000000"/>
          <w:spacing w:val="0"/>
        </w:rPr>
        <w:t>Cf. CEDH, 5</w:t>
      </w:r>
      <w:r>
        <w:rPr>
          <w:rFonts w:ascii="Times New Roman" w:hAnsi="Times New Roman"/>
          <w:b w:val="false"/>
          <w:bCs w:val="false"/>
          <w:caps w:val="false"/>
          <w:smallCaps w:val="false"/>
          <w:color w:val="000000"/>
          <w:spacing w:val="0"/>
          <w:vertAlign w:val="superscript"/>
        </w:rPr>
        <w:t>e</w:t>
      </w:r>
      <w:r>
        <w:rPr>
          <w:rFonts w:ascii="Times New Roman" w:hAnsi="Times New Roman"/>
          <w:b w:val="false"/>
          <w:bCs w:val="false"/>
          <w:caps w:val="false"/>
          <w:smallCaps w:val="false"/>
          <w:color w:val="000000"/>
          <w:spacing w:val="0"/>
        </w:rPr>
        <w:t xml:space="preserve"> chambre, 2 juillet 2020, req. n°s </w:t>
      </w:r>
      <w:r>
        <w:rPr>
          <w:rFonts w:ascii="Times New Roman" w:hAnsi="Times New Roman"/>
          <w:b w:val="false"/>
          <w:caps w:val="false"/>
          <w:smallCaps w:val="false"/>
          <w:color w:val="000000"/>
          <w:spacing w:val="0"/>
        </w:rPr>
        <w:t>28820/13, 75547/13, 13114/15</w:t>
      </w:r>
      <w:r>
        <w:rPr>
          <w:rFonts w:ascii="Times New Roman" w:hAnsi="Times New Roman"/>
          <w:b w:val="false"/>
          <w:caps w:val="false"/>
          <w:smallCaps w:val="false"/>
          <w:color w:val="000000"/>
          <w:spacing w:val="0"/>
        </w:rPr>
        <w:t>5</w:t>
      </w:r>
    </w:p>
    <w:p>
      <w:pPr>
        <w:pStyle w:val="Titre3"/>
        <w:keepNext w:val="true"/>
        <w:keepLines/>
        <w:widowControl w:val="false"/>
        <w:tabs>
          <w:tab w:val="left" w:pos="1701" w:leader="none"/>
        </w:tabs>
        <w:bidi w:val="0"/>
        <w:spacing w:before="40" w:after="0"/>
        <w:jc w:val="both"/>
        <w:outlineLvl w:val="2"/>
        <w:rPr>
          <w:rFonts w:ascii="Times New Roman" w:hAnsi="Times New Roman" w:eastAsia="" w:cs=""/>
          <w:caps w:val="false"/>
          <w:smallCaps w:val="false"/>
          <w:color w:val="000000"/>
          <w:kern w:val="0"/>
          <w:sz w:val="24"/>
          <w:szCs w:val="24"/>
          <w:lang w:val="fr-FR" w:eastAsia="en-US" w:bidi="ar-SA"/>
        </w:rPr>
      </w:pPr>
      <w:r>
        <w:rPr>
          <w:rFonts w:eastAsia="" w:cs="" w:ascii="Times New Roman" w:hAnsi="Times New Roman"/>
          <w:caps w:val="false"/>
          <w:smallCaps w:val="false"/>
          <w:color w:val="000000"/>
          <w:kern w:val="0"/>
          <w:sz w:val="24"/>
          <w:szCs w:val="24"/>
          <w:lang w:val="fr-FR" w:eastAsia="en-US" w:bidi="ar-SA"/>
        </w:rPr>
        <w:t xml:space="preserve">Sur la jurisprudence du Conseil d’État </w:t>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2"/>
        </w:rPr>
        <w:t>L</w:t>
      </w:r>
      <w:r>
        <w:rPr>
          <w:rFonts w:cs="Times New Roman" w:ascii="Times New Roman" w:hAnsi="Times New Roman"/>
          <w:i w:val="false"/>
          <w:iCs w:val="false"/>
          <w:sz w:val="22"/>
        </w:rPr>
        <w:t>e Conseil d’État a jugé que :</w:t>
      </w:r>
    </w:p>
    <w:p>
      <w:pPr>
        <w:pStyle w:val="Citations"/>
        <w:rPr/>
      </w:pPr>
      <w:r>
        <w:rPr/>
        <w:t xml:space="preserve">16. Elle implique, en outre, que les demandeurs d'asile ayant été privés du bénéfice des conditions matérielles d'accueil en vertu d'une décision, prise après le 1er janvier 2019, y mettant fin dans un cas mentionné à l'article L. 744-7 du code puissent demander le rétablissement de ce bénéfice. Il appartient alors à l'Office français de l'immigration et de l'intégration de statuer sur une telle demande de rétablissement en appréciant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p>
    <w:p>
      <w:pPr>
        <w:pStyle w:val="Citations"/>
        <w:rPr/>
      </w:pPr>
      <w:r>
        <w:rPr/>
        <w:t>17. Enfin, compte tenu des motifs d'incompatibilité des dispositions des articles L. 744-7 et L. 744-8 qui ne s'opposent pas à ce que l'autorité compétente puisse limiter ou supprimer le bénéfice des conditions matérielles d'accueil aux demandeurs d'asile qui quittent leur lieu d'hébergement ou la région d'orientation déterminée en application de l'article L. 744-2 du code de l'entrée et du séjour des étrangers et du droit d'asile ou qui ne respectent pas les exigences des autorités chargées de l'asile, il y a lieu de préciser les conditions dans lesquelles les autorités compétentes peuvent, dans l'attente de la modification des articles L. 744-7 et L. 744-8 par le législateur, tirer des conséquences de tels comportements sur le bénéfice des conditions matérielles d'accueil.</w:t>
      </w:r>
    </w:p>
    <w:p>
      <w:pPr>
        <w:pStyle w:val="Citations"/>
        <w:rPr/>
      </w:pPr>
      <w:r>
        <w:rPr/>
        <w:t xml:space="preserve">18. Ainsi, il reste possible à l'Office français de l'immigration et de l'intégration de refuser le bénéfice des conditions matérielles d'accueil, après examen de sa situation particulière et par une décision motivée, au demandeur qui a refusé le lieu d'hébergement proposé ou la région d'orientation. Il lui est également possible, dans les mêmes conditions et après avoir mis, sauf impossibilité, l'intéressé en mesure de présenter ses observations, de suspendre le bénéfice de ces conditions lorsque le demandeur a quitté le lieu d'hébergement proposé ou la région d'orientation ou n'a pas respecté les exigences des autorités chargées de l'asile, notamment de se rendre aux entretiens, de se présenter aux autorités et de fournir les informations utiles afin de faciliter l'instruction des demandes. Si le bénéfice des conditions matérielles d'accueil a été suspendu, le demandeur d'asile peut en demander le rétablissement à l'Office, qui devra apprécier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r>
        <w:rPr>
          <w:i w:val="false"/>
          <w:iCs w:val="false"/>
        </w:rPr>
        <w:t xml:space="preserve">Cf. CE, 31 juillet 2019, Cimade et autres, n°428530, au Recueil)                                         </w:t>
      </w:r>
    </w:p>
    <w:p>
      <w:pPr>
        <w:pStyle w:val="Citations"/>
        <w:rPr/>
      </w:pPr>
      <w:r>
        <w:rPr>
          <w:i w:val="false"/>
          <w:iCs w:val="false"/>
        </w:rPr>
        <w:t xml:space="preserve">A la lumière de ces arrêts, il apparaît clair que le principe est le rétablissement même partiel du bénéfice des conditions matérielles d’accueil et l’exception , dûment motivée est le maintien du retrait total de ce bénéfice. </w:t>
      </w:r>
    </w:p>
    <w:p>
      <w:pPr>
        <w:pStyle w:val="Titre3"/>
        <w:rPr/>
      </w:pPr>
      <w:r>
        <w:rPr/>
        <w:t xml:space="preserve">Sur la situation d’espèce </w:t>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4"/>
          <w:szCs w:val="24"/>
        </w:rPr>
        <w:t>Or il est manifeste que :</w:t>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4"/>
          <w:szCs w:val="24"/>
        </w:rPr>
        <w:t xml:space="preserve">je suis dépourvu·e de toute ressource depuis le </w:t>
        <w:tab/>
        <w:tab/>
        <w:t>et je ne dispose pas d’un lieu pour vivre</w:t>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4"/>
          <w:szCs w:val="24"/>
        </w:rPr>
        <w:t>je fais partie des personnes vulnérables au sens de l’article L.744-6 du CESEDA.</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tabs>
          <w:tab w:val="clear" w:pos="708"/>
          <w:tab w:val="left" w:pos="2115" w:leader="none"/>
        </w:tabs>
        <w:spacing w:lineRule="atLeast" w:line="200" w:before="57" w:after="57"/>
        <w:ind w:left="567" w:hanging="0"/>
        <w:jc w:val="both"/>
        <w:rPr/>
      </w:pPr>
      <w:r>
        <w:rPr>
          <w:rFonts w:cs="Times New Roman" w:ascii="Times New Roman" w:hAnsi="Times New Roman"/>
          <w:i w:val="false"/>
          <w:iCs w:val="false"/>
          <w:sz w:val="24"/>
          <w:szCs w:val="24"/>
        </w:rPr>
        <w:t>La décision de refus de rétablissement de l’OFII fait donc une fausse application des dispositions du droit européen et du droit national, tel qu’interprétés par le</w:t>
      </w:r>
      <w:r>
        <w:rPr>
          <w:rFonts w:cs="Times New Roman" w:ascii="Times New Roman" w:hAnsi="Times New Roman"/>
          <w:i w:val="false"/>
          <w:iCs w:val="false"/>
          <w:sz w:val="24"/>
          <w:szCs w:val="24"/>
        </w:rPr>
        <w:t xml:space="preserve">s Cours européennes et le </w:t>
      </w:r>
      <w:r>
        <w:rPr>
          <w:rFonts w:cs="Times New Roman" w:ascii="Times New Roman" w:hAnsi="Times New Roman"/>
          <w:i w:val="false"/>
          <w:iCs w:val="false"/>
          <w:sz w:val="24"/>
          <w:szCs w:val="24"/>
        </w:rPr>
        <w:t xml:space="preserve"> Conseil d’État.</w:t>
      </w:r>
    </w:p>
    <w:p>
      <w:pPr>
        <w:pStyle w:val="Titre3"/>
        <w:numPr>
          <w:ilvl w:val="0"/>
          <w:numId w:val="0"/>
        </w:numPr>
        <w:ind w:left="1287" w:hanging="0"/>
        <w:rPr/>
      </w:pPr>
      <w:r>
        <w:rPr/>
      </w:r>
    </w:p>
    <w:p>
      <w:pPr>
        <w:pStyle w:val="Titre3"/>
        <w:rPr/>
      </w:pPr>
      <w:r>
        <w:rPr/>
        <w:t>Sur les autres motifs prévus à l’article L. 744-8 du CESEDA</w:t>
      </w:r>
    </w:p>
    <w:p>
      <w:pPr>
        <w:pStyle w:val="Corpsdetexte"/>
        <w:tabs>
          <w:tab w:val="clear" w:pos="708"/>
          <w:tab w:val="left" w:pos="-45" w:leader="none"/>
          <w:tab w:val="left" w:pos="4995" w:leader="none"/>
        </w:tabs>
        <w:ind w:left="567" w:hanging="0"/>
        <w:jc w:val="both"/>
        <w:rPr/>
      </w:pPr>
      <w:r>
        <w:rPr>
          <w:rFonts w:cs="Times New Roman" w:ascii="Times New Roman" w:hAnsi="Times New Roman"/>
          <w:sz w:val="22"/>
        </w:rPr>
        <w:t xml:space="preserve">L’OFII ne pouvant retirer ou refuser pour d’autres motifs </w:t>
      </w:r>
      <w:r>
        <w:rPr>
          <w:rStyle w:val="Strong"/>
          <w:rFonts w:cs="Times New Roman" w:ascii="Times New Roman" w:hAnsi="Times New Roman"/>
          <w:sz w:val="22"/>
        </w:rPr>
        <w:t>prévus par l’article L. 744-8 du CESEDA :</w:t>
      </w:r>
    </w:p>
    <w:p>
      <w:pPr>
        <w:pStyle w:val="NormalWeb"/>
        <w:numPr>
          <w:ilvl w:val="0"/>
          <w:numId w:val="4"/>
        </w:numPr>
        <w:tabs>
          <w:tab w:val="clear" w:pos="708"/>
          <w:tab w:val="left" w:pos="567" w:leader="none"/>
        </w:tabs>
        <w:ind w:left="567" w:firstLine="7"/>
        <w:jc w:val="both"/>
        <w:rPr/>
      </w:pPr>
      <w:r>
        <w:rPr>
          <w:rFonts w:cs="Times New Roman" w:ascii="Times New Roman" w:hAnsi="Times New Roman"/>
          <w:sz w:val="22"/>
        </w:rPr>
        <w:t>Je n’ai pas donné de fausses indications concernant mon identité ou ma situation familiale (cf. JRCE, 9 novembre 2017, n° 415132) ;</w:t>
      </w:r>
    </w:p>
    <w:p>
      <w:pPr>
        <w:pStyle w:val="NormalWeb"/>
        <w:numPr>
          <w:ilvl w:val="0"/>
          <w:numId w:val="4"/>
        </w:numPr>
        <w:tabs>
          <w:tab w:val="clear" w:pos="708"/>
          <w:tab w:val="left" w:pos="567" w:leader="none"/>
        </w:tabs>
        <w:ind w:left="567" w:firstLine="7"/>
        <w:jc w:val="both"/>
        <w:rPr/>
      </w:pPr>
      <w:r>
        <w:rPr>
          <w:rFonts w:cs="Times New Roman" w:ascii="Times New Roman" w:hAnsi="Times New Roman"/>
          <w:sz w:val="22"/>
        </w:rPr>
        <w:t xml:space="preserve">Je n’ai pas formulé ma demande d’asile plus de 90 jours après mon entrée irrégulière, ni de demande de réexamen. </w:t>
      </w:r>
    </w:p>
    <w:p>
      <w:pPr>
        <w:pStyle w:val="Corpsdetexte"/>
        <w:ind w:left="567" w:hanging="0"/>
        <w:jc w:val="both"/>
        <w:rPr>
          <w:rFonts w:ascii="Times New Roman" w:hAnsi="Times New Roman" w:cs="Times New Roman"/>
          <w:sz w:val="22"/>
        </w:rPr>
      </w:pPr>
      <w:r>
        <w:rPr>
          <w:rFonts w:cs="Times New Roman" w:ascii="Times New Roman" w:hAnsi="Times New Roman"/>
          <w:bCs/>
          <w:sz w:val="22"/>
        </w:rPr>
        <w:t>.</w:t>
      </w:r>
      <w:r>
        <w:rPr>
          <w:rFonts w:cs="Times New Roman" w:ascii="Times New Roman" w:hAnsi="Times New Roman"/>
          <w:sz w:val="22"/>
        </w:rPr>
        <w:t xml:space="preserve">Ces dispositions vont à l’encontre du principe de dignité qui a été considéré comme une liberté fondamentale tant par les juridictions européennes (cf. CJUE Cimade Gisti, C-179/11ou Cour EDH, 1e Sect. 5 avril 2011, Rahimi c. Grèce ou 4 novembre 2014, Tarakhel c. Suisse, req. N° 29217/12) que nationales (cf. CE, 31 juillet 2017, n° </w:t>
      </w:r>
      <w:r>
        <w:rPr>
          <w:rFonts w:eastAsia="Arial Unicode MS" w:cs="Times New Roman" w:ascii="Times New Roman" w:hAnsi="Times New Roman"/>
          <w:sz w:val="22"/>
        </w:rPr>
        <w:t>412125)</w:t>
      </w:r>
    </w:p>
    <w:p>
      <w:pPr>
        <w:pStyle w:val="Normal"/>
        <w:ind w:left="567" w:hanging="0"/>
        <w:jc w:val="both"/>
        <w:rPr>
          <w:rFonts w:ascii="Times New Roman" w:hAnsi="Times New Roman" w:cs="Times New Roman"/>
          <w:sz w:val="22"/>
        </w:rPr>
      </w:pPr>
      <w:bookmarkStart w:id="6" w:name="_GoBack"/>
      <w:bookmarkEnd w:id="6"/>
      <w:r>
        <w:rPr>
          <w:rFonts w:cs="Times New Roman" w:ascii="Times New Roman" w:hAnsi="Times New Roman"/>
          <w:sz w:val="22"/>
        </w:rPr>
        <w:t xml:space="preserve">La décision de l’OFII sera annulée. </w:t>
      </w:r>
    </w:p>
    <w:p>
      <w:pPr>
        <w:pStyle w:val="Titre1"/>
        <w:numPr>
          <w:ilvl w:val="0"/>
          <w:numId w:val="6"/>
        </w:numPr>
        <w:rPr>
          <w:rFonts w:ascii="Times New Roman" w:hAnsi="Times New Roman" w:cs="Times New Roman"/>
          <w:sz w:val="22"/>
          <w:szCs w:val="22"/>
        </w:rPr>
      </w:pPr>
      <w:r>
        <w:rPr/>
        <w:t xml:space="preserve">Conclusions </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Il est demandé au tribunal de céans:</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 d’annuler la décision du </w:t>
        <w:tab/>
        <w:t xml:space="preserve">et d’enjoindre à l'OFII de réexaminer ma situation et de rétablir mes droits aux conditions matérielles d’accueil sous astreinte de 200€ par jour de retard à compter de la notification de l’ordonnance à venir ;de me faire réintégrer le centre d’accueil </w:t>
        <w:tab/>
        <w:t xml:space="preserve"> ou de m’indiquer un lieu susceptible de m’accueillir et de me rétablir mes droits à l’allocation pour demandeur d’asile à compter du </w:t>
        <w:tab/>
        <w:tab/>
        <w:t xml:space="preserve">, sous astreinte de cent euros par jour de retard à compter du jugement à intervenir, </w:t>
      </w:r>
    </w:p>
    <w:p>
      <w:pPr>
        <w:pStyle w:val="Normal"/>
        <w:tabs>
          <w:tab w:val="clear" w:pos="708"/>
          <w:tab w:val="left" w:pos="0" w:leader="none"/>
        </w:tabs>
        <w:spacing w:lineRule="atLeast" w:line="200" w:before="57" w:after="57"/>
        <w:jc w:val="both"/>
        <w:rPr>
          <w:rFonts w:ascii="Times New Roman" w:hAnsi="Times New Roman" w:cs="Times New Roman"/>
          <w:sz w:val="22"/>
        </w:rPr>
      </w:pPr>
      <w:r>
        <w:rPr>
          <w:rFonts w:cs="Times New Roman" w:ascii="Times New Roman" w:hAnsi="Times New Roman"/>
          <w:sz w:val="22"/>
        </w:rPr>
      </w:r>
    </w:p>
    <w:p>
      <w:pPr>
        <w:pStyle w:val="Normal"/>
        <w:tabs>
          <w:tab w:val="clear" w:pos="708"/>
          <w:tab w:val="left" w:pos="0" w:leader="none"/>
        </w:tabs>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rFonts w:ascii="Times New Roman" w:hAnsi="Times New Roman" w:cs="Times New Roman"/>
          <w:sz w:val="22"/>
        </w:rPr>
      </w:pPr>
      <w:r>
        <w:rPr>
          <w:rFonts w:cs="Times New Roman" w:ascii="Times New Roman" w:hAnsi="Times New Roman"/>
          <w:sz w:val="22"/>
        </w:rPr>
        <w:t xml:space="preserve">Fait à ² le </w:t>
        <w:tab/>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suppressAutoHyphens w:val="true"/>
        <w:spacing w:lineRule="atLeast" w:line="200" w:before="57" w:after="57"/>
        <w:ind w:left="4989" w:hanging="0"/>
        <w:jc w:val="both"/>
        <w:textAlignment w:val="baseline"/>
        <w:rPr>
          <w:rFonts w:ascii="Times New Roman" w:hAnsi="Times New Roman" w:cs="Times New Roman"/>
          <w:sz w:val="22"/>
        </w:rPr>
      </w:pPr>
      <w:r>
        <w:rPr>
          <w:rFonts w:cs="Times New Roman" w:ascii="Times New Roman" w:hAnsi="Times New Roman"/>
          <w:sz w:val="22"/>
        </w:rPr>
      </w:r>
    </w:p>
    <w:p>
      <w:pPr>
        <w:pStyle w:val="Pieddepage"/>
        <w:suppressLineNumbers/>
        <w:tabs>
          <w:tab w:val="center" w:pos="4320" w:leader="none"/>
          <w:tab w:val="right" w:pos="8640" w:leader="none"/>
        </w:tabs>
        <w:spacing w:before="57" w:after="57"/>
        <w:rPr/>
      </w:pPr>
      <w:r>
        <w:rPr/>
        <w:fldChar w:fldCharType="begin"/>
        <mc:AlternateContent>
          <mc:Choice Requires="wps">
            <w:drawing>
              <wp:anchor behindDoc="1" distT="0" distB="0" distL="0" distR="0" simplePos="0" locked="0" layoutInCell="1" allowOverlap="1" relativeHeight="2" wp14:anchorId="44778031">
                <wp:simplePos x="0" y="0"/>
                <wp:positionH relativeFrom="page">
                  <wp:posOffset>6176010</wp:posOffset>
                </wp:positionH>
                <wp:positionV relativeFrom="paragraph">
                  <wp:posOffset>635</wp:posOffset>
                </wp:positionV>
                <wp:extent cx="309245" cy="183515"/>
                <wp:effectExtent l="0" t="0" r="0" b="0"/>
                <wp:wrapSquare wrapText="largest"/>
                <wp:docPr id="1" name="Zone de texte 1"/>
                <a:graphic xmlns:a="http://schemas.openxmlformats.org/drawingml/2006/main">
                  <a:graphicData uri="http://schemas.microsoft.com/office/word/2010/wordprocessingShape">
                    <wps:wsp>
                      <wps:cNvSpPr/>
                      <wps:spPr>
                        <a:xfrm>
                          <a:off x="0" y="0"/>
                          <a:ext cx="308520" cy="182880"/>
                        </a:xfrm>
                        <a:prstGeom prst="rect">
                          <a:avLst/>
                        </a:prstGeom>
                        <a:solidFill>
                          <a:srgbClr val="ffffff"/>
                        </a:solidFill>
                        <a:ln>
                          <a:noFill/>
                        </a:ln>
                      </wps:spPr>
                      <wps:style>
                        <a:lnRef idx="0"/>
                        <a:fillRef idx="0"/>
                        <a:effectRef idx="0"/>
                        <a:fontRef idx="minor"/>
                      </wps:style>
                      <wps:txbx>
                        <w:txbxContent>
                          <w:p>
                            <w:pPr>
                              <w:pStyle w:val="Contenudecadre"/>
                              <w:spacing w:before="57" w:after="57"/>
                              <w:rPr>
                                <w:color w:val="000000"/>
                              </w:rPr>
                            </w:pPr>
                            <w:r>
                              <w:rPr>
                                <w:color w:val="000000"/>
                              </w:rPr>
                            </w:r>
                          </w:p>
                        </w:txbxContent>
                      </wps:txbx>
                      <wps:bodyPr lIns="0" rIns="0" tIns="0" bIns="0">
                        <a:noAutofit/>
                      </wps:bodyPr>
                    </wps:wsp>
                  </a:graphicData>
                </a:graphic>
              </wp:anchor>
            </w:drawing>
          </mc:Choice>
          <mc:Fallback>
            <w:pict>
              <v:rect id="shape_0" ID="Zone de texte 1" fillcolor="white" stroked="f" style="position:absolute;margin-left:486.3pt;margin-top:0.05pt;width:24.25pt;height:14.35pt;mso-position-horizontal-relative:page" wp14:anchorId="44778031">
                <w10:wrap type="none"/>
                <v:fill o:detectmouseclick="t" type="solid" color2="black"/>
                <v:stroke color="#3465a4" joinstyle="round" endcap="flat"/>
                <v:textbox>
                  <w:txbxContent>
                    <w:p>
                      <w:pPr>
                        <w:pStyle w:val="Contenudecadre"/>
                        <w:spacing w:before="57" w:after="57"/>
                        <w:rPr>
                          <w:color w:val="000000"/>
                        </w:rPr>
                      </w:pPr>
                      <w:r>
                        <w:rPr>
                          <w:color w:val="000000"/>
                        </w:rPr>
                      </w:r>
                    </w:p>
                  </w:txbxContent>
                </v:textbox>
              </v:rect>
            </w:pict>
          </mc:Fallback>
        </mc:AlternateContent>
      </w:r>
      <w:r>
        <w:rPr/>
        <w:instrText> PAGE </w:instrText>
      </w:r>
      <w:r>
        <w:rPr/>
        <w:fldChar w:fldCharType="separate"/>
      </w:r>
      <w:r>
        <w:rPr/>
        <w:t>12</w:t>
      </w:r>
      <w:r>
        <w:rPr/>
        <w:fldChar w:fldCharType="end"/>
      </w:r>
    </w:p>
    <w:sectPr>
      <w:footerReference w:type="default" r:id="rId16"/>
      <w:type w:val="nextPage"/>
      <w:pgSz w:w="11906" w:h="16838"/>
      <w:pgMar w:left="680" w:right="2078" w:header="0" w:top="680" w:footer="709" w:bottom="1134"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eur inconnu" w:date="2019-03-25T17:17:00Z" w:initials="">
    <w:p>
      <w:r>
        <w:rPr>
          <w:rFonts w:ascii="Calibri" w:hAnsi="Calibri" w:eastAsia="Calibri" w:cs="Tahoma"/>
          <w:sz w:val="20"/>
          <w:szCs w:val="24"/>
          <w:lang w:val="en-US" w:eastAsia="en-US" w:bidi="en-US"/>
        </w:rPr>
        <w:t>Six mois à compter du jugement TA</w:t>
      </w:r>
    </w:p>
    <w:p>
      <w:r>
        <w:rPr>
          <w:rFonts w:ascii="Liberation Serif" w:hAnsi="Liberation Serif" w:eastAsia="Tahoma" w:cs="Tahoma"/>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Garamond">
    <w:charset w:val="01"/>
    <w:family w:val="roman"/>
    <w:pitch w:val="variable"/>
  </w:font>
  <w:font w:name="Calibri Light">
    <w:charset w:val="01"/>
    <w:family w:val="roman"/>
    <w:pitch w:val="variable"/>
  </w:font>
  <w:font w:name="CG Times">
    <w:charset w:val="01"/>
    <w:family w:val="roman"/>
    <w:pitch w:val="variable"/>
  </w:font>
  <w:font w:name="Segoe UI">
    <w:charset w:val="01"/>
    <w:family w:val="roman"/>
    <w:pitch w:val="variable"/>
  </w:font>
  <w:font w:name="Liberation Sans">
    <w:altName w:val="Arial"/>
    <w:charset w:val="01"/>
    <w:family w:val="roman"/>
    <w:pitch w:val="variable"/>
  </w:font>
  <w:font w:name="Arial">
    <w:charset w:val="01"/>
    <w:family w:val="roman"/>
    <w:pitch w:val="variable"/>
  </w:font>
  <w:font w:name="Times">
    <w:altName w:val="Times New Roman"/>
    <w:charset w:val="01"/>
    <w:family w:val="roman"/>
    <w:pitch w:val="variable"/>
  </w:font>
  <w:font w:name="EUAlbertina">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spacing w:before="57" w:after="57"/>
      <w:ind w:right="360" w:hanging="0"/>
      <w:rPr/>
    </w:pPr>
    <w:r>
      <w:rPr/>
      <mc:AlternateContent>
        <mc:Choice Requires="wps">
          <w:drawing>
            <wp:anchor behindDoc="1" distT="0" distB="0" distL="0" distR="0" simplePos="0" locked="0" layoutInCell="1" allowOverlap="1" relativeHeight="14" wp14:anchorId="6337F201">
              <wp:simplePos x="0" y="0"/>
              <wp:positionH relativeFrom="page">
                <wp:posOffset>6176010</wp:posOffset>
              </wp:positionH>
              <wp:positionV relativeFrom="paragraph">
                <wp:posOffset>635</wp:posOffset>
              </wp:positionV>
              <wp:extent cx="309880" cy="184150"/>
              <wp:effectExtent l="0" t="0" r="0" b="0"/>
              <wp:wrapSquare wrapText="largest"/>
              <wp:docPr id="3" name="Zone de texte 1"/>
              <a:graphic xmlns:a="http://schemas.openxmlformats.org/drawingml/2006/main">
                <a:graphicData uri="http://schemas.microsoft.com/office/word/2010/wordprocessingShape">
                  <wps:wsp>
                    <wps:cNvSpPr/>
                    <wps:spPr>
                      <a:xfrm>
                        <a:off x="0" y="0"/>
                        <a:ext cx="309240" cy="183600"/>
                      </a:xfrm>
                      <a:prstGeom prst="rect">
                        <a:avLst/>
                      </a:prstGeom>
                      <a:solidFill>
                        <a:srgbClr val="ffffff"/>
                      </a:solidFill>
                      <a:ln>
                        <a:noFill/>
                      </a:ln>
                    </wps:spPr>
                    <wps:style>
                      <a:lnRef idx="0"/>
                      <a:fillRef idx="0"/>
                      <a:effectRef idx="0"/>
                      <a:fontRef idx="minor"/>
                    </wps:style>
                    <wps:txbx>
                      <w:txbxContent>
                        <w:p>
                          <w:pPr>
                            <w:pStyle w:val="Pieddepage"/>
                            <w:spacing w:before="57" w:after="57"/>
                            <w:rPr>
                              <w:color w:val="000000"/>
                            </w:rPr>
                          </w:pPr>
                          <w:r>
                            <w:rPr>
                              <w:color w:val="000000"/>
                            </w:rPr>
                            <w:fldChar w:fldCharType="begin"/>
                          </w:r>
                          <w:r>
                            <w:rPr/>
                            <w:instrText> PAGE </w:instrText>
                          </w:r>
                          <w:r>
                            <w:rPr/>
                            <w:fldChar w:fldCharType="separate"/>
                          </w:r>
                          <w:r>
                            <w:rPr/>
                            <w:t>12</w:t>
                          </w:r>
                          <w:r>
                            <w:rPr/>
                            <w:fldChar w:fldCharType="end"/>
                          </w:r>
                        </w:p>
                      </w:txbxContent>
                    </wps:txbx>
                    <wps:bodyPr lIns="0" rIns="0" tIns="0" bIns="0">
                      <a:noAutofit/>
                    </wps:bodyPr>
                  </wps:wsp>
                </a:graphicData>
              </a:graphic>
            </wp:anchor>
          </w:drawing>
        </mc:Choice>
        <mc:Fallback>
          <w:pict>
            <v:rect id="shape_0" ID="Zone de texte 1" fillcolor="white" stroked="f" style="position:absolute;margin-left:486.3pt;margin-top:0.05pt;width:24.3pt;height:14.4pt;mso-position-horizontal-relative:page" wp14:anchorId="6337F201">
              <w10:wrap type="square"/>
              <v:fill o:detectmouseclick="t" type="solid" color2="black"/>
              <v:stroke color="#3465a4" joinstyle="round" endcap="flat"/>
              <v:textbox>
                <w:txbxContent>
                  <w:p>
                    <w:pPr>
                      <w:pStyle w:val="Pieddepage"/>
                      <w:spacing w:before="57" w:after="57"/>
                      <w:rPr>
                        <w:color w:val="000000"/>
                      </w:rPr>
                    </w:pPr>
                    <w:r>
                      <w:rPr>
                        <w:color w:val="000000"/>
                      </w:rPr>
                      <w:fldChar w:fldCharType="begin"/>
                    </w:r>
                    <w:r>
                      <w:rPr/>
                      <w:instrText> PAGE </w:instrText>
                    </w:r>
                    <w:r>
                      <w:rPr/>
                      <w:fldChar w:fldCharType="separate"/>
                    </w:r>
                    <w:r>
                      <w:rPr/>
                      <w:t>12</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3"/>
      <w:pStyle w:val="Titre2"/>
      <w:numFmt w:val="decimal"/>
      <w:lvlText w:val="%2"/>
      <w:lvlJc w:val="left"/>
      <w:pPr>
        <w:ind w:left="576" w:hanging="576"/>
      </w:pPr>
    </w:lvl>
    <w:lvl w:ilvl="2">
      <w:start w:val="1"/>
      <w:pStyle w:val="Titre3"/>
      <w:numFmt w:val="decimal"/>
      <w:lvlText w:val="%2.%3"/>
      <w:lvlJc w:val="left"/>
      <w:pPr>
        <w:ind w:left="720" w:hanging="720"/>
      </w:pPr>
    </w:lvl>
    <w:lvl w:ilvl="3">
      <w:start w:val="1"/>
      <w:numFmt w:val="none"/>
      <w:suff w:val="nothing"/>
      <w:lvlText w:val=""/>
      <w:lvlJc w:val="left"/>
      <w:pPr>
        <w:ind w:left="0" w:hanging="0"/>
      </w:pPr>
    </w:lvl>
    <w:lvl w:ilvl="4">
      <w:start w:val="1"/>
      <w:pStyle w:val="Titre5"/>
      <w:numFmt w:val="decimal"/>
      <w:lvlText w:val="%2.%3.%5"/>
      <w:lvlJc w:val="left"/>
      <w:pPr>
        <w:ind w:left="1008" w:hanging="1008"/>
      </w:pPr>
    </w:lvl>
    <w:lvl w:ilvl="5">
      <w:start w:val="1"/>
      <w:pStyle w:val="Titre6"/>
      <w:numFmt w:val="decimal"/>
      <w:lvlText w:val="%2.%3.%5.%6"/>
      <w:lvlJc w:val="left"/>
      <w:pPr>
        <w:ind w:left="1152" w:hanging="1152"/>
      </w:pPr>
    </w:lvl>
    <w:lvl w:ilvl="6">
      <w:start w:val="1"/>
      <w:pStyle w:val="Titre7"/>
      <w:numFmt w:val="decimal"/>
      <w:lvlText w:val="%2.%3.%5.%6.%7"/>
      <w:lvlJc w:val="left"/>
      <w:pPr>
        <w:ind w:left="1296" w:hanging="1296"/>
      </w:pPr>
    </w:lvl>
    <w:lvl w:ilvl="7">
      <w:start w:val="1"/>
      <w:pStyle w:val="Titre8"/>
      <w:numFmt w:val="decimal"/>
      <w:lvlText w:val="%2.%3.%5.%6.%7.%8"/>
      <w:lvlJc w:val="left"/>
      <w:pPr>
        <w:ind w:left="1440" w:hanging="1440"/>
      </w:pPr>
    </w:lvl>
    <w:lvl w:ilvl="8">
      <w:start w:val="1"/>
      <w:pStyle w:val="Titre9"/>
      <w:numFmt w:val="decimal"/>
      <w:lvlText w:val="%2.%3.%5.%6.%7.%8.%9"/>
      <w:lvlJc w:val="left"/>
      <w:pPr>
        <w:ind w:left="1584" w:hanging="1584"/>
      </w:pPr>
    </w:lvl>
  </w:abstractNum>
  <w:abstractNum w:abstractNumId="2">
    <w:lvl w:ilvl="0">
      <w:start w:val="2"/>
      <w:numFmt w:val="decimal"/>
      <w:lvlText w:val="%1"/>
      <w:lvlJc w:val="left"/>
      <w:pPr>
        <w:ind w:left="432" w:hanging="432"/>
      </w:pPr>
    </w:lvl>
    <w:lvl w:ilvl="1">
      <w:start w:val="3"/>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
    <w:lvl w:ilvl="0">
      <w:start w:val="1"/>
      <w:numFmt w:val="bullet"/>
      <w:lvlText w:val=""/>
      <w:lvlJc w:val="left"/>
      <w:pPr>
        <w:ind w:left="0" w:hanging="0"/>
      </w:pPr>
      <w:rPr>
        <w:rFonts w:ascii="Symbol" w:hAnsi="Symbol" w:cs="Symbol" w:hint="default"/>
        <w:sz w:val="22"/>
        <w:rFonts w:cs="Symbol"/>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2"/>
      <w:numFmt w:val="upperRoman"/>
      <w:lvlText w:val="%1."/>
      <w:lvlJc w:val="left"/>
      <w:pPr>
        <w:ind w:left="432" w:hanging="432"/>
      </w:pPr>
    </w:lvl>
    <w:lvl w:ilvl="1">
      <w:start w:val="3"/>
      <w:numFmt w:val="decimal"/>
      <w:lvlText w:val="%1.%2"/>
      <w:lvlJc w:val="left"/>
      <w:pPr>
        <w:ind w:left="860"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7">
    <w:lvl w:ilvl="0">
      <w:start w:val="1"/>
      <w:numFmt w:val="decimal"/>
      <w:lvlText w:val=" %1 "/>
      <w:lvlJc w:val="left"/>
      <w:pPr>
        <w:tabs>
          <w:tab w:val="num" w:pos="720"/>
        </w:tabs>
        <w:ind w:left="720" w:hanging="360"/>
      </w:pPr>
      <w:rPr>
        <w:smallCaps/>
        <w:sz w:val="32"/>
        <w:b/>
        <w:szCs w:val="32"/>
        <w:rFonts w:ascii="Garamond" w:hAnsi="Garamond" w:eastAsia="" w:cs="" w:cstheme="majorBidi" w:eastAsiaTheme="majorEastAsia"/>
      </w:rPr>
    </w:lvl>
    <w:lvl w:ilvl="1">
      <w:start w:val="1"/>
      <w:numFmt w:val="decimal"/>
      <w:lvlText w:val=" %1.%2 "/>
      <w:lvlJc w:val="left"/>
      <w:pPr>
        <w:tabs>
          <w:tab w:val="num" w:pos="1080"/>
        </w:tabs>
        <w:ind w:left="1080" w:hanging="360"/>
      </w:pPr>
      <w:rPr>
        <w:u w:val="single"/>
        <w:b/>
        <w:szCs w:val="20"/>
        <w:rFonts w:ascii="CG Times" w:hAnsi="CG Times" w:eastAsia="Times New Roman" w:cs="CG Times"/>
        <w:lang w:eastAsia="zh-CN"/>
      </w:rPr>
    </w:lvl>
    <w:lvl w:ilvl="2">
      <w:start w:val="1"/>
      <w:numFmt w:val="decimal"/>
      <w:lvlText w:val=" %1.%2.%3 "/>
      <w:lvlJc w:val="left"/>
      <w:pPr>
        <w:tabs>
          <w:tab w:val="num" w:pos="1440"/>
        </w:tabs>
        <w:ind w:left="1440" w:hanging="360"/>
      </w:pPr>
      <w:rPr>
        <w:smallCaps/>
        <w:sz w:val="24"/>
        <w:b/>
        <w:szCs w:val="24"/>
        <w:rFonts w:ascii="Garamond" w:hAnsi="Garamond" w:eastAsia="" w:cs="" w:cstheme="majorBidi" w:eastAsiaTheme="majorEastAsia"/>
        <w:lang w:eastAsia="zh-CN"/>
      </w:rPr>
    </w:lvl>
    <w:lvl w:ilvl="3">
      <w:start w:val="1"/>
      <w:numFmt w:val="decimal"/>
      <w:lvlText w:val=" %1.%2.%3.%4 "/>
      <w:lvlJc w:val="left"/>
      <w:pPr>
        <w:tabs>
          <w:tab w:val="num" w:pos="1800"/>
        </w:tabs>
        <w:ind w:left="1800" w:hanging="360"/>
      </w:pPr>
      <w:rPr>
        <w:sz w:val="24"/>
        <w:u w:val="single"/>
        <w:szCs w:val="20"/>
        <w:iCs/>
        <w:rFonts w:ascii="Garamond" w:hAnsi="Garamond" w:eastAsia="" w:cs="" w:cstheme="majorBidi" w:eastAsiaTheme="majorEastAsia"/>
        <w:lang w:eastAsia="zh-CN"/>
      </w:r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1133"/>
    <w:pPr>
      <w:widowControl w:val="false"/>
      <w:bidi w:val="0"/>
      <w:spacing w:lineRule="atLeast" w:line="200" w:before="57" w:after="57"/>
      <w:ind w:left="567" w:hanging="0"/>
      <w:jc w:val="both"/>
    </w:pPr>
    <w:rPr>
      <w:rFonts w:ascii="Calibri" w:hAnsi="Calibri" w:eastAsia="Calibri" w:cs="" w:asciiTheme="minorHAnsi" w:cstheme="minorBidi" w:eastAsiaTheme="minorHAnsi" w:hAnsiTheme="minorHAnsi"/>
      <w:color w:val="auto"/>
      <w:kern w:val="0"/>
      <w:sz w:val="24"/>
      <w:szCs w:val="22"/>
      <w:lang w:val="fr-FR" w:eastAsia="en-US" w:bidi="ar-SA"/>
    </w:rPr>
  </w:style>
  <w:style w:type="paragraph" w:styleId="Titre1">
    <w:name w:val="Heading 1"/>
    <w:basedOn w:val="Normal"/>
    <w:next w:val="Normal"/>
    <w:link w:val="Titre1Car"/>
    <w:autoRedefine/>
    <w:qFormat/>
    <w:rsid w:val="00be21af"/>
    <w:pPr>
      <w:keepNext w:val="true"/>
      <w:keepLines/>
      <w:widowControl w:val="false"/>
      <w:numPr>
        <w:ilvl w:val="0"/>
        <w:numId w:val="6"/>
      </w:numPr>
      <w:tabs>
        <w:tab w:val="clear" w:pos="708"/>
        <w:tab w:val="left" w:pos="1134" w:leader="none"/>
      </w:tabs>
      <w:bidi w:val="0"/>
      <w:spacing w:before="240" w:after="0"/>
      <w:jc w:val="center"/>
      <w:outlineLvl w:val="0"/>
    </w:pPr>
    <w:rPr>
      <w:rFonts w:ascii="Times New Roman" w:hAnsi="Times New Roman" w:eastAsia="" w:cs="Times New Roman" w:eastAsiaTheme="majorEastAsia"/>
      <w:b/>
      <w:smallCaps/>
      <w:color w:val="auto"/>
      <w:kern w:val="0"/>
      <w:sz w:val="32"/>
      <w:szCs w:val="32"/>
      <w:lang w:val="fr-FR" w:eastAsia="en-US" w:bidi="ar-SA"/>
    </w:rPr>
  </w:style>
  <w:style w:type="paragraph" w:styleId="Titre2">
    <w:name w:val="Heading 2"/>
    <w:basedOn w:val="Normal"/>
    <w:next w:val="Normal"/>
    <w:link w:val="Titre2Car1"/>
    <w:autoRedefine/>
    <w:unhideWhenUsed/>
    <w:qFormat/>
    <w:rsid w:val="007f3469"/>
    <w:pPr>
      <w:keepNext w:val="true"/>
      <w:keepLines/>
      <w:numPr>
        <w:ilvl w:val="1"/>
        <w:numId w:val="1"/>
      </w:numPr>
      <w:tabs>
        <w:tab w:val="clear" w:pos="708"/>
        <w:tab w:val="left" w:pos="1134" w:leader="none"/>
      </w:tabs>
      <w:spacing w:before="40" w:after="0"/>
      <w:jc w:val="both"/>
      <w:outlineLvl w:val="1"/>
    </w:pPr>
    <w:rPr>
      <w:rFonts w:ascii="Garamond" w:hAnsi="Garamond" w:eastAsia="" w:cs="" w:cstheme="majorBidi" w:eastAsiaTheme="majorEastAsia"/>
      <w:b/>
      <w:smallCaps/>
      <w:szCs w:val="26"/>
    </w:rPr>
  </w:style>
  <w:style w:type="paragraph" w:styleId="Titre3">
    <w:name w:val="Heading 3"/>
    <w:basedOn w:val="Normal"/>
    <w:next w:val="Normal"/>
    <w:link w:val="Titre3Car"/>
    <w:autoRedefine/>
    <w:uiPriority w:val="9"/>
    <w:unhideWhenUsed/>
    <w:qFormat/>
    <w:rsid w:val="004d594e"/>
    <w:pPr>
      <w:keepNext w:val="true"/>
      <w:keepLines/>
      <w:numPr>
        <w:ilvl w:val="2"/>
        <w:numId w:val="1"/>
      </w:numPr>
      <w:tabs>
        <w:tab w:val="clear" w:pos="708"/>
        <w:tab w:val="left" w:pos="1701" w:leader="none"/>
      </w:tabs>
      <w:spacing w:before="40" w:after="0"/>
      <w:jc w:val="both"/>
      <w:outlineLvl w:val="2"/>
    </w:pPr>
    <w:rPr>
      <w:rFonts w:ascii="Garamond" w:hAnsi="Garamond" w:eastAsia="" w:cs="" w:cstheme="majorBidi" w:eastAsiaTheme="majorEastAsia"/>
      <w:b/>
      <w:bCs/>
      <w:smallCaps/>
      <w:szCs w:val="24"/>
    </w:rPr>
  </w:style>
  <w:style w:type="paragraph" w:styleId="Titre4">
    <w:name w:val="Heading 4"/>
    <w:basedOn w:val="Normal"/>
    <w:next w:val="Normal"/>
    <w:link w:val="Titre4Car"/>
    <w:autoRedefine/>
    <w:uiPriority w:val="9"/>
    <w:unhideWhenUsed/>
    <w:qFormat/>
    <w:rsid w:val="00c64993"/>
    <w:pPr>
      <w:keepNext w:val="true"/>
      <w:keepLines/>
      <w:tabs>
        <w:tab w:val="clear" w:pos="708"/>
        <w:tab w:val="left" w:pos="1704" w:leader="none"/>
      </w:tabs>
      <w:spacing w:before="40" w:after="0"/>
      <w:jc w:val="both"/>
      <w:outlineLvl w:val="3"/>
    </w:pPr>
    <w:rPr>
      <w:rFonts w:ascii="Garamond" w:hAnsi="Garamond" w:eastAsia="" w:cs="" w:cstheme="majorBidi" w:eastAsiaTheme="majorEastAsia"/>
      <w:iCs/>
      <w:u w:val="single"/>
    </w:rPr>
  </w:style>
  <w:style w:type="paragraph" w:styleId="Titre5">
    <w:name w:val="Heading 5"/>
    <w:basedOn w:val="Normal"/>
    <w:next w:val="Normal"/>
    <w:link w:val="Titre5Car"/>
    <w:uiPriority w:val="9"/>
    <w:semiHidden/>
    <w:unhideWhenUsed/>
    <w:qFormat/>
    <w:rsid w:val="00c64993"/>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re6">
    <w:name w:val="Heading 6"/>
    <w:basedOn w:val="Normal"/>
    <w:next w:val="Normal"/>
    <w:link w:val="Titre6Car"/>
    <w:uiPriority w:val="9"/>
    <w:semiHidden/>
    <w:unhideWhenUsed/>
    <w:qFormat/>
    <w:rsid w:val="00c64993"/>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re7">
    <w:name w:val="Heading 7"/>
    <w:basedOn w:val="Normal"/>
    <w:next w:val="Normal"/>
    <w:link w:val="Titre7Car"/>
    <w:uiPriority w:val="9"/>
    <w:semiHidden/>
    <w:unhideWhenUsed/>
    <w:qFormat/>
    <w:rsid w:val="00c64993"/>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re8">
    <w:name w:val="Heading 8"/>
    <w:basedOn w:val="Normal"/>
    <w:next w:val="Normal"/>
    <w:link w:val="Titre8Car"/>
    <w:uiPriority w:val="9"/>
    <w:semiHidden/>
    <w:unhideWhenUsed/>
    <w:qFormat/>
    <w:rsid w:val="00c64993"/>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c64993"/>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e21af"/>
    <w:rPr>
      <w:rFonts w:ascii="Garamond" w:hAnsi="Garamond" w:eastAsia="" w:cs="" w:cstheme="majorBidi" w:eastAsiaTheme="majorEastAsia"/>
      <w:b/>
      <w:smallCaps/>
      <w:sz w:val="32"/>
      <w:szCs w:val="32"/>
    </w:rPr>
  </w:style>
  <w:style w:type="character" w:styleId="Titre2Car" w:customStyle="1">
    <w:name w:val="Titre 2 Car"/>
    <w:basedOn w:val="DefaultParagraphFont"/>
    <w:link w:val="Titre21"/>
    <w:qFormat/>
    <w:rsid w:val="00c91133"/>
    <w:rPr>
      <w:rFonts w:ascii="CG Times" w:hAnsi="CG Times" w:eastAsia="Times New Roman" w:cs="CG Times"/>
      <w:b/>
      <w:szCs w:val="20"/>
      <w:u w:val="single"/>
      <w:lang w:eastAsia="zh-CN"/>
    </w:rPr>
  </w:style>
  <w:style w:type="character" w:styleId="LienInternet" w:customStyle="1">
    <w:name w:val="Lien Internet"/>
    <w:rsid w:val="001c4557"/>
    <w:rPr>
      <w:color w:val="000080"/>
      <w:u w:val="single"/>
    </w:rPr>
  </w:style>
  <w:style w:type="character" w:styleId="Pagenumber">
    <w:name w:val="page number"/>
    <w:basedOn w:val="DefaultParagraphFont"/>
    <w:qFormat/>
    <w:rsid w:val="00c91133"/>
    <w:rPr/>
  </w:style>
  <w:style w:type="character" w:styleId="Strong">
    <w:name w:val="Strong"/>
    <w:uiPriority w:val="22"/>
    <w:qFormat/>
    <w:rsid w:val="00c91133"/>
    <w:rPr>
      <w:b/>
      <w:bCs/>
    </w:rPr>
  </w:style>
  <w:style w:type="character" w:styleId="CommentaireCar" w:customStyle="1">
    <w:name w:val="Commentaire Car"/>
    <w:link w:val="Commentaire"/>
    <w:uiPriority w:val="99"/>
    <w:semiHidden/>
    <w:qFormat/>
    <w:rsid w:val="00c91133"/>
    <w:rPr>
      <w:rFonts w:ascii="CG Times" w:hAnsi="CG Times" w:cs="CG Times"/>
      <w:lang w:eastAsia="zh-CN"/>
    </w:rPr>
  </w:style>
  <w:style w:type="character" w:styleId="PieddepageCar" w:customStyle="1">
    <w:name w:val="Pied de page Car"/>
    <w:basedOn w:val="DefaultParagraphFont"/>
    <w:link w:val="Pieddepage"/>
    <w:qFormat/>
    <w:rsid w:val="00c91133"/>
    <w:rPr>
      <w:rFonts w:ascii="CG Times" w:hAnsi="CG Times" w:eastAsia="Times New Roman" w:cs="CG Times"/>
      <w:sz w:val="24"/>
      <w:szCs w:val="20"/>
      <w:lang w:eastAsia="zh-CN"/>
    </w:rPr>
  </w:style>
  <w:style w:type="character" w:styleId="Annotationreference">
    <w:name w:val="annotation reference"/>
    <w:uiPriority w:val="99"/>
    <w:semiHidden/>
    <w:unhideWhenUsed/>
    <w:qFormat/>
    <w:rsid w:val="00c91133"/>
    <w:rPr>
      <w:sz w:val="16"/>
      <w:szCs w:val="16"/>
    </w:rPr>
  </w:style>
  <w:style w:type="character" w:styleId="CommentaireCar1" w:customStyle="1">
    <w:name w:val="Commentaire Car1"/>
    <w:basedOn w:val="DefaultParagraphFont"/>
    <w:uiPriority w:val="99"/>
    <w:semiHidden/>
    <w:qFormat/>
    <w:rsid w:val="00c91133"/>
    <w:rPr>
      <w:rFonts w:ascii="CG Times" w:hAnsi="CG Times" w:eastAsia="Times New Roman" w:cs="CG Times"/>
      <w:sz w:val="20"/>
      <w:szCs w:val="20"/>
      <w:lang w:eastAsia="zh-CN"/>
    </w:rPr>
  </w:style>
  <w:style w:type="character" w:styleId="CorpsdetexteCar" w:customStyle="1">
    <w:name w:val="Corps de texte Car"/>
    <w:basedOn w:val="DefaultParagraphFont"/>
    <w:link w:val="Corpsdetexte"/>
    <w:uiPriority w:val="99"/>
    <w:qFormat/>
    <w:rsid w:val="00c91133"/>
    <w:rPr>
      <w:rFonts w:ascii="CG Times" w:hAnsi="CG Times" w:eastAsia="Times New Roman" w:cs="CG Times"/>
      <w:sz w:val="24"/>
      <w:szCs w:val="20"/>
      <w:lang w:eastAsia="zh-CN"/>
    </w:rPr>
  </w:style>
  <w:style w:type="character" w:styleId="TextedebullesCar" w:customStyle="1">
    <w:name w:val="Texte de bulles Car"/>
    <w:basedOn w:val="DefaultParagraphFont"/>
    <w:link w:val="Textedebulles"/>
    <w:uiPriority w:val="99"/>
    <w:semiHidden/>
    <w:qFormat/>
    <w:rsid w:val="00c91133"/>
    <w:rPr>
      <w:rFonts w:ascii="Segoe UI" w:hAnsi="Segoe UI" w:eastAsia="Times New Roman" w:cs="Segoe UI"/>
      <w:sz w:val="18"/>
      <w:szCs w:val="18"/>
      <w:lang w:eastAsia="zh-CN"/>
    </w:rPr>
  </w:style>
  <w:style w:type="character" w:styleId="ListLabel1" w:customStyle="1">
    <w:name w:val="ListLabel 1"/>
    <w:qFormat/>
    <w:rPr>
      <w:rFonts w:ascii="Garamond" w:hAnsi="Garamond" w:cs="Times New Roman"/>
      <w:sz w:val="22"/>
      <w:szCs w:val="22"/>
    </w:rPr>
  </w:style>
  <w:style w:type="character" w:styleId="ListLabel2" w:customStyle="1">
    <w:name w:val="ListLabel 2"/>
    <w:qFormat/>
    <w:rPr>
      <w:rFonts w:ascii="Garamond" w:hAnsi="Garamond" w:cs="Symbol"/>
      <w:sz w:val="22"/>
      <w:szCs w:val="22"/>
    </w:rPr>
  </w:style>
  <w:style w:type="character" w:styleId="ListLabel3" w:customStyle="1">
    <w:name w:val="ListLabel 3"/>
    <w:qFormat/>
    <w:rPr>
      <w:rFonts w:ascii="Garamond" w:hAnsi="Garamond" w:cs="Symbol"/>
      <w:sz w:val="18"/>
      <w:lang w:val="fr-FR"/>
    </w:rPr>
  </w:style>
  <w:style w:type="character" w:styleId="ListLabel4" w:customStyle="1">
    <w:name w:val="ListLabel 4"/>
    <w:qFormat/>
    <w:rPr>
      <w:rFonts w:ascii="Garamond" w:hAnsi="Garamond" w:cs="Symbol"/>
      <w:sz w:val="22"/>
      <w:szCs w:val="22"/>
    </w:rPr>
  </w:style>
  <w:style w:type="character" w:styleId="LienInternetvisit" w:customStyle="1">
    <w:name w:val="Lien Internet visité"/>
    <w:rPr>
      <w:color w:val="800080"/>
      <w:u w:val="single"/>
    </w:rPr>
  </w:style>
  <w:style w:type="character" w:styleId="ObjetducommentaireCar" w:customStyle="1">
    <w:name w:val="Objet du commentaire Car"/>
    <w:basedOn w:val="CommentaireCar"/>
    <w:link w:val="Objetducommentaire"/>
    <w:uiPriority w:val="99"/>
    <w:semiHidden/>
    <w:qFormat/>
    <w:rsid w:val="00433ff2"/>
    <w:rPr>
      <w:rFonts w:ascii="CG Times" w:hAnsi="CG Times" w:eastAsia="Times New Roman" w:cs="CG Times"/>
      <w:b/>
      <w:bCs/>
      <w:szCs w:val="20"/>
      <w:lang w:eastAsia="zh-CN"/>
    </w:rPr>
  </w:style>
  <w:style w:type="character" w:styleId="Surlignage" w:customStyle="1">
    <w:name w:val="surlignage"/>
    <w:basedOn w:val="DefaultParagraphFont"/>
    <w:qFormat/>
    <w:rsid w:val="00677ef9"/>
    <w:rPr/>
  </w:style>
  <w:style w:type="character" w:styleId="Titre2Car1" w:customStyle="1">
    <w:name w:val="Titre 2 Car1"/>
    <w:basedOn w:val="DefaultParagraphFont"/>
    <w:link w:val="Titre2"/>
    <w:qFormat/>
    <w:rsid w:val="007f3469"/>
    <w:rPr>
      <w:rFonts w:ascii="Garamond" w:hAnsi="Garamond" w:eastAsia="" w:cs="" w:cstheme="majorBidi" w:eastAsiaTheme="majorEastAsia"/>
      <w:b/>
      <w:smallCaps/>
      <w:sz w:val="24"/>
      <w:szCs w:val="26"/>
      <w:lang w:eastAsia="zh-CN"/>
    </w:rPr>
  </w:style>
  <w:style w:type="character" w:styleId="Titre3Car" w:customStyle="1">
    <w:name w:val="Titre 3 Car"/>
    <w:basedOn w:val="DefaultParagraphFont"/>
    <w:link w:val="Titre3"/>
    <w:uiPriority w:val="9"/>
    <w:qFormat/>
    <w:rsid w:val="004d594e"/>
    <w:rPr>
      <w:rFonts w:ascii="Garamond" w:hAnsi="Garamond" w:eastAsia="" w:cs="" w:cstheme="majorBidi" w:eastAsiaTheme="majorEastAsia"/>
      <w:b/>
      <w:smallCaps/>
      <w:sz w:val="24"/>
      <w:szCs w:val="24"/>
      <w:lang w:eastAsia="zh-CN"/>
    </w:rPr>
  </w:style>
  <w:style w:type="character" w:styleId="Titre4Car" w:customStyle="1">
    <w:name w:val="Titre 4 Car"/>
    <w:basedOn w:val="DefaultParagraphFont"/>
    <w:link w:val="Titre4"/>
    <w:uiPriority w:val="9"/>
    <w:qFormat/>
    <w:rsid w:val="00c64993"/>
    <w:rPr>
      <w:rFonts w:ascii="Garamond" w:hAnsi="Garamond" w:eastAsia="" w:cs="" w:cstheme="majorBidi" w:eastAsiaTheme="majorEastAsia"/>
      <w:iCs/>
      <w:sz w:val="24"/>
      <w:szCs w:val="20"/>
      <w:u w:val="single"/>
      <w:lang w:eastAsia="zh-CN"/>
    </w:rPr>
  </w:style>
  <w:style w:type="character" w:styleId="ListLabel5" w:customStyle="1">
    <w:name w:val="ListLabel 5"/>
    <w:qFormat/>
    <w:rPr>
      <w:rFonts w:ascii="Garamond" w:hAnsi="Garamond" w:cs="Times New Roman"/>
      <w:sz w:val="22"/>
      <w:szCs w:val="22"/>
    </w:rPr>
  </w:style>
  <w:style w:type="character" w:styleId="ListLabel6" w:customStyle="1">
    <w:name w:val="ListLabel 6"/>
    <w:qFormat/>
    <w:rPr>
      <w:rFonts w:ascii="Garamond" w:hAnsi="Garamond" w:cs="Symbol"/>
      <w:sz w:val="22"/>
      <w:szCs w:val="22"/>
    </w:rPr>
  </w:style>
  <w:style w:type="character" w:styleId="ListLabel7" w:customStyle="1">
    <w:name w:val="ListLabel 7"/>
    <w:qFormat/>
    <w:rPr>
      <w:rFonts w:ascii="Garamond" w:hAnsi="Garamond" w:cs="Symbol"/>
      <w:sz w:val="18"/>
      <w:lang w:val="fr-FR"/>
    </w:rPr>
  </w:style>
  <w:style w:type="character" w:styleId="ListLabel8" w:customStyle="1">
    <w:name w:val="ListLabel 8"/>
    <w:qFormat/>
    <w:rPr>
      <w:rFonts w:ascii="Garamond" w:hAnsi="Garamond" w:cs="Symbol"/>
      <w:sz w:val="22"/>
      <w:szCs w:val="22"/>
    </w:rPr>
  </w:style>
  <w:style w:type="character" w:styleId="ListLabel9" w:customStyle="1">
    <w:name w:val="ListLabel 9"/>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19" w:customStyle="1">
    <w:name w:val="ListLabel 19"/>
    <w:qFormat/>
    <w:rPr>
      <w:rFonts w:ascii="Times New Roman" w:hAnsi="Times New Roman"/>
      <w:sz w:val="22"/>
      <w:szCs w:val="22"/>
    </w:rPr>
  </w:style>
  <w:style w:type="character" w:styleId="Accentuation">
    <w:name w:val="Accentuation"/>
    <w:qFormat/>
    <w:rPr>
      <w:i/>
      <w:iCs/>
    </w:rPr>
  </w:style>
  <w:style w:type="character" w:styleId="Caractresdenumrotation" w:customStyle="1">
    <w:name w:val="Caractères de numérotation"/>
    <w:qFormat/>
    <w:rPr/>
  </w:style>
  <w:style w:type="character" w:styleId="CitationCar" w:customStyle="1">
    <w:name w:val="Citation Car"/>
    <w:basedOn w:val="DefaultParagraphFont"/>
    <w:link w:val="Citation"/>
    <w:uiPriority w:val="29"/>
    <w:qFormat/>
    <w:rsid w:val="001c4557"/>
    <w:rPr>
      <w:rFonts w:ascii="CG Times" w:hAnsi="CG Times" w:eastAsia="Times New Roman" w:cs="CG Times"/>
      <w:i/>
      <w:iCs/>
      <w:color w:val="404040" w:themeColor="text1" w:themeTint="bf"/>
      <w:sz w:val="24"/>
      <w:szCs w:val="20"/>
      <w:lang w:eastAsia="zh-CN"/>
    </w:rPr>
  </w:style>
  <w:style w:type="character" w:styleId="Titre5Car" w:customStyle="1">
    <w:name w:val="Titre 5 Car"/>
    <w:basedOn w:val="DefaultParagraphFont"/>
    <w:link w:val="Titre5"/>
    <w:uiPriority w:val="9"/>
    <w:semiHidden/>
    <w:qFormat/>
    <w:rsid w:val="00c64993"/>
    <w:rPr>
      <w:rFonts w:ascii="Calibri Light" w:hAnsi="Calibri Light" w:eastAsia="" w:cs="" w:asciiTheme="majorHAnsi" w:cstheme="majorBidi" w:eastAsiaTheme="majorEastAsia" w:hAnsiTheme="majorHAnsi"/>
      <w:color w:val="2E74B5" w:themeColor="accent1" w:themeShade="bf"/>
      <w:sz w:val="24"/>
      <w:szCs w:val="20"/>
      <w:lang w:eastAsia="zh-CN"/>
    </w:rPr>
  </w:style>
  <w:style w:type="character" w:styleId="Titre6Car" w:customStyle="1">
    <w:name w:val="Titre 6 Car"/>
    <w:basedOn w:val="DefaultParagraphFont"/>
    <w:link w:val="Titre6"/>
    <w:uiPriority w:val="9"/>
    <w:semiHidden/>
    <w:qFormat/>
    <w:rsid w:val="00c64993"/>
    <w:rPr>
      <w:rFonts w:ascii="Calibri Light" w:hAnsi="Calibri Light" w:eastAsia="" w:cs="" w:asciiTheme="majorHAnsi" w:cstheme="majorBidi" w:eastAsiaTheme="majorEastAsia" w:hAnsiTheme="majorHAnsi"/>
      <w:color w:val="1F4D78" w:themeColor="accent1" w:themeShade="7f"/>
      <w:sz w:val="24"/>
      <w:szCs w:val="20"/>
      <w:lang w:eastAsia="zh-CN"/>
    </w:rPr>
  </w:style>
  <w:style w:type="character" w:styleId="Titre7Car" w:customStyle="1">
    <w:name w:val="Titre 7 Car"/>
    <w:basedOn w:val="DefaultParagraphFont"/>
    <w:link w:val="Titre7"/>
    <w:uiPriority w:val="9"/>
    <w:semiHidden/>
    <w:qFormat/>
    <w:rsid w:val="00c64993"/>
    <w:rPr>
      <w:rFonts w:ascii="Calibri Light" w:hAnsi="Calibri Light" w:eastAsia="" w:cs="" w:asciiTheme="majorHAnsi" w:cstheme="majorBidi" w:eastAsiaTheme="majorEastAsia" w:hAnsiTheme="majorHAnsi"/>
      <w:i/>
      <w:iCs/>
      <w:color w:val="1F4D78" w:themeColor="accent1" w:themeShade="7f"/>
      <w:sz w:val="24"/>
      <w:szCs w:val="20"/>
      <w:lang w:eastAsia="zh-CN"/>
    </w:rPr>
  </w:style>
  <w:style w:type="character" w:styleId="Titre8Car" w:customStyle="1">
    <w:name w:val="Titre 8 Car"/>
    <w:basedOn w:val="DefaultParagraphFont"/>
    <w:link w:val="Titre8"/>
    <w:uiPriority w:val="9"/>
    <w:semiHidden/>
    <w:qFormat/>
    <w:rsid w:val="00c64993"/>
    <w:rPr>
      <w:rFonts w:ascii="Calibri Light" w:hAnsi="Calibri Light" w:eastAsia="" w:cs="" w:asciiTheme="majorHAnsi" w:cstheme="majorBidi" w:eastAsiaTheme="majorEastAsia" w:hAnsiTheme="majorHAnsi"/>
      <w:color w:val="272727" w:themeColor="text1" w:themeTint="d8"/>
      <w:sz w:val="21"/>
      <w:szCs w:val="21"/>
      <w:lang w:eastAsia="zh-CN"/>
    </w:rPr>
  </w:style>
  <w:style w:type="character" w:styleId="Titre9Car" w:customStyle="1">
    <w:name w:val="Titre 9 Car"/>
    <w:basedOn w:val="DefaultParagraphFont"/>
    <w:link w:val="Titre9"/>
    <w:uiPriority w:val="9"/>
    <w:semiHidden/>
    <w:qFormat/>
    <w:rsid w:val="00c64993"/>
    <w:rPr>
      <w:rFonts w:ascii="Calibri Light" w:hAnsi="Calibri Light" w:eastAsia="" w:cs="" w:asciiTheme="majorHAnsi" w:cstheme="majorBidi" w:eastAsiaTheme="majorEastAsia" w:hAnsiTheme="majorHAnsi"/>
      <w:i/>
      <w:iCs/>
      <w:color w:val="272727" w:themeColor="text1" w:themeTint="d8"/>
      <w:sz w:val="21"/>
      <w:szCs w:val="21"/>
      <w:lang w:eastAsia="zh-CN"/>
    </w:rPr>
  </w:style>
  <w:style w:type="character" w:styleId="ListLabel20" w:customStyle="1">
    <w:name w:val="ListLabel 2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1" w:customStyle="1">
    <w:name w:val="ListLabel 21"/>
    <w:qFormat/>
    <w:rPr>
      <w:rFonts w:cs="Symbol"/>
      <w:sz w:val="22"/>
      <w:szCs w:val="22"/>
    </w:rPr>
  </w:style>
  <w:style w:type="character" w:styleId="ListLabel22" w:customStyle="1">
    <w:name w:val="ListLabel 22"/>
    <w:qFormat/>
    <w:rPr>
      <w:rFonts w:ascii="Garamond" w:hAnsi="Garamond" w:cs="Symbol"/>
      <w:sz w:val="18"/>
      <w:lang w:val="fr-FR"/>
    </w:rPr>
  </w:style>
  <w:style w:type="character" w:styleId="ListLabel23" w:customStyle="1">
    <w:name w:val="ListLabel 23"/>
    <w:qFormat/>
    <w:rPr>
      <w:rFonts w:ascii="Garamond" w:hAnsi="Garamond" w:cs="Symbol"/>
      <w:sz w:val="22"/>
      <w:szCs w:val="22"/>
    </w:rPr>
  </w:style>
  <w:style w:type="character" w:styleId="ListLabel24" w:customStyle="1">
    <w:name w:val="ListLabel 24"/>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5" w:customStyle="1">
    <w:name w:val="ListLabel 25"/>
    <w:qFormat/>
    <w:rPr>
      <w:rFonts w:ascii="Times New Roman" w:hAnsi="Times New Roman" w:cs="Times New Roman"/>
      <w:sz w:val="22"/>
      <w:szCs w:val="22"/>
    </w:rPr>
  </w:style>
  <w:style w:type="character" w:styleId="ListLabel26" w:customStyle="1">
    <w:name w:val="ListLabel 26"/>
    <w:qFormat/>
    <w:rPr>
      <w:rFonts w:ascii="Garamond" w:hAnsi="Garamond" w:eastAsia="" w:eastAsiaTheme="majorEastAsia"/>
      <w:bCs/>
      <w:sz w:val="22"/>
      <w:szCs w:val="22"/>
    </w:rPr>
  </w:style>
  <w:style w:type="character" w:styleId="ListLabel27" w:customStyle="1">
    <w:name w:val="ListLabel 27"/>
    <w:qFormat/>
    <w:rPr>
      <w:rFonts w:cs="Symbol"/>
      <w:sz w:val="22"/>
      <w:szCs w:val="22"/>
    </w:rPr>
  </w:style>
  <w:style w:type="character" w:styleId="ListLabel28" w:customStyle="1">
    <w:name w:val="ListLabel 28"/>
    <w:qFormat/>
    <w:rPr>
      <w:rFonts w:ascii="Garamond" w:hAnsi="Garamond" w:cs="Symbol"/>
      <w:sz w:val="18"/>
      <w:lang w:val="fr-FR"/>
    </w:rPr>
  </w:style>
  <w:style w:type="character" w:styleId="ListLabel29" w:customStyle="1">
    <w:name w:val="ListLabel 29"/>
    <w:qFormat/>
    <w:rPr>
      <w:rFonts w:ascii="Garamond" w:hAnsi="Garamond" w:cs="Symbol"/>
      <w:sz w:val="22"/>
      <w:szCs w:val="22"/>
    </w:rPr>
  </w:style>
  <w:style w:type="character" w:styleId="ListLabel30" w:customStyle="1">
    <w:name w:val="ListLabel 3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31" w:customStyle="1">
    <w:name w:val="ListLabel 31"/>
    <w:qFormat/>
    <w:rPr>
      <w:rFonts w:ascii="Garamond" w:hAnsi="Garamond" w:eastAsia="Times New Roman" w:cs="Times New Roman"/>
      <w:b/>
      <w:bCs/>
      <w:sz w:val="22"/>
      <w:szCs w:val="22"/>
    </w:rPr>
  </w:style>
  <w:style w:type="character" w:styleId="ListLabel32" w:customStyle="1">
    <w:name w:val="ListLabel 32"/>
    <w:qFormat/>
    <w:rPr>
      <w:i/>
      <w:iCs/>
    </w:rPr>
  </w:style>
  <w:style w:type="character" w:styleId="ListLabel33" w:customStyle="1">
    <w:name w:val="ListLabel 33"/>
    <w:qFormat/>
    <w:rPr>
      <w:rFonts w:ascii="Garamond" w:hAnsi="Garamond" w:eastAsia="" w:eastAsiaTheme="majorEastAsia"/>
      <w:bCs/>
      <w:sz w:val="22"/>
      <w:szCs w:val="22"/>
    </w:rPr>
  </w:style>
  <w:style w:type="character" w:styleId="ListLabel34" w:customStyle="1">
    <w:name w:val="ListLabel 34"/>
    <w:qFormat/>
    <w:rPr>
      <w:rFonts w:cs="Symbol"/>
      <w:sz w:val="22"/>
      <w:szCs w:val="22"/>
    </w:rPr>
  </w:style>
  <w:style w:type="character" w:styleId="ListLabel35" w:customStyle="1">
    <w:name w:val="ListLabel 35"/>
    <w:qFormat/>
    <w:rPr>
      <w:rFonts w:ascii="Garamond" w:hAnsi="Garamond" w:cs="Symbol"/>
      <w:sz w:val="18"/>
      <w:lang w:val="fr-FR"/>
    </w:rPr>
  </w:style>
  <w:style w:type="character" w:styleId="ListLabel36" w:customStyle="1">
    <w:name w:val="ListLabel 36"/>
    <w:qFormat/>
    <w:rPr>
      <w:rFonts w:ascii="Garamond" w:hAnsi="Garamond" w:cs="Symbol"/>
      <w:sz w:val="22"/>
      <w:szCs w:val="22"/>
    </w:rPr>
  </w:style>
  <w:style w:type="character" w:styleId="ListLabel37" w:customStyle="1">
    <w:name w:val="ListLabel 37"/>
    <w:qFormat/>
    <w:rPr>
      <w:rFonts w:ascii="Garamond" w:hAnsi="Garamond" w:eastAsia="Times New Roman" w:cs="Times New Roman"/>
      <w:b/>
      <w:bCs/>
      <w:sz w:val="22"/>
      <w:szCs w:val="22"/>
    </w:rPr>
  </w:style>
  <w:style w:type="character" w:styleId="ListLabel38" w:customStyle="1">
    <w:name w:val="ListLabel 38"/>
    <w:qFormat/>
    <w:rPr>
      <w:i/>
      <w:iCs/>
    </w:rPr>
  </w:style>
  <w:style w:type="character" w:styleId="ListLabel39" w:customStyle="1">
    <w:name w:val="ListLabel 39"/>
    <w:qFormat/>
    <w:rPr>
      <w:rFonts w:ascii="Garamond" w:hAnsi="Garamond" w:eastAsia="" w:eastAsiaTheme="majorEastAsia"/>
      <w:bCs/>
      <w:sz w:val="22"/>
      <w:szCs w:val="22"/>
    </w:rPr>
  </w:style>
  <w:style w:type="character" w:styleId="ListLabel40" w:customStyle="1">
    <w:name w:val="ListLabel 40"/>
    <w:qFormat/>
    <w:rPr>
      <w:rFonts w:cs="Symbol"/>
      <w:sz w:val="22"/>
      <w:szCs w:val="22"/>
    </w:rPr>
  </w:style>
  <w:style w:type="character" w:styleId="ListLabel41" w:customStyle="1">
    <w:name w:val="ListLabel 41"/>
    <w:qFormat/>
    <w:rPr>
      <w:rFonts w:ascii="Garamond" w:hAnsi="Garamond" w:cs="Symbol"/>
      <w:sz w:val="18"/>
      <w:lang w:val="fr-FR"/>
    </w:rPr>
  </w:style>
  <w:style w:type="character" w:styleId="ListLabel42" w:customStyle="1">
    <w:name w:val="ListLabel 42"/>
    <w:qFormat/>
    <w:rPr>
      <w:rFonts w:ascii="Garamond" w:hAnsi="Garamond" w:cs="Symbol"/>
      <w:sz w:val="22"/>
      <w:szCs w:val="22"/>
    </w:rPr>
  </w:style>
  <w:style w:type="character" w:styleId="ListLabel43" w:customStyle="1">
    <w:name w:val="ListLabel 43"/>
    <w:qFormat/>
    <w:rPr>
      <w:rFonts w:ascii="Garamond" w:hAnsi="Garamond" w:eastAsia="Times New Roman" w:cs="Times New Roman"/>
      <w:b/>
      <w:bCs/>
      <w:sz w:val="22"/>
      <w:szCs w:val="22"/>
    </w:rPr>
  </w:style>
  <w:style w:type="character" w:styleId="ListLabel44" w:customStyle="1">
    <w:name w:val="ListLabel 44"/>
    <w:qFormat/>
    <w:rPr>
      <w:i/>
      <w:iCs/>
    </w:rPr>
  </w:style>
  <w:style w:type="character" w:styleId="ListLabel45" w:customStyle="1">
    <w:name w:val="ListLabel 45"/>
    <w:qFormat/>
    <w:rPr>
      <w:rFonts w:ascii="Garamond" w:hAnsi="Garamond" w:eastAsia="" w:eastAsiaTheme="majorEastAsia"/>
      <w:bCs/>
      <w:sz w:val="22"/>
      <w:szCs w:val="22"/>
    </w:rPr>
  </w:style>
  <w:style w:type="character" w:styleId="ListLabel46" w:customStyle="1">
    <w:name w:val="ListLabel 46"/>
    <w:qFormat/>
    <w:rPr>
      <w:rFonts w:cs="Symbol"/>
      <w:sz w:val="22"/>
      <w:szCs w:val="22"/>
    </w:rPr>
  </w:style>
  <w:style w:type="character" w:styleId="ListLabel47" w:customStyle="1">
    <w:name w:val="ListLabel 47"/>
    <w:qFormat/>
    <w:rPr>
      <w:rFonts w:ascii="Garamond" w:hAnsi="Garamond" w:cs="Symbol"/>
      <w:sz w:val="18"/>
      <w:lang w:val="fr-FR"/>
    </w:rPr>
  </w:style>
  <w:style w:type="character" w:styleId="ListLabel48" w:customStyle="1">
    <w:name w:val="ListLabel 48"/>
    <w:qFormat/>
    <w:rPr>
      <w:rFonts w:ascii="Garamond" w:hAnsi="Garamond" w:cs="Symbol"/>
      <w:sz w:val="22"/>
      <w:szCs w:val="22"/>
    </w:rPr>
  </w:style>
  <w:style w:type="character" w:styleId="ListLabel49" w:customStyle="1">
    <w:name w:val="ListLabel 49"/>
    <w:qFormat/>
    <w:rPr>
      <w:rFonts w:ascii="Garamond" w:hAnsi="Garamond" w:eastAsia="Times New Roman" w:cs="Times New Roman"/>
      <w:b/>
      <w:bCs/>
      <w:sz w:val="22"/>
      <w:szCs w:val="22"/>
    </w:rPr>
  </w:style>
  <w:style w:type="character" w:styleId="ListLabel50" w:customStyle="1">
    <w:name w:val="ListLabel 50"/>
    <w:qFormat/>
    <w:rPr>
      <w:i/>
      <w:iCs/>
    </w:rPr>
  </w:style>
  <w:style w:type="character" w:styleId="ListLabel51" w:customStyle="1">
    <w:name w:val="ListLabel 51"/>
    <w:qFormat/>
    <w:rPr>
      <w:rFonts w:ascii="Garamond" w:hAnsi="Garamond" w:eastAsia="" w:eastAsiaTheme="majorEastAsia"/>
      <w:bCs/>
      <w:sz w:val="22"/>
      <w:szCs w:val="22"/>
    </w:rPr>
  </w:style>
  <w:style w:type="character" w:styleId="ListLabel52" w:customStyle="1">
    <w:name w:val="ListLabel 52"/>
    <w:qFormat/>
    <w:rPr>
      <w:rFonts w:cs="Symbol"/>
      <w:sz w:val="18"/>
      <w:lang w:val="fr-FR"/>
    </w:rPr>
  </w:style>
  <w:style w:type="character" w:styleId="ListLabel53" w:customStyle="1">
    <w:name w:val="ListLabel 53"/>
    <w:qFormat/>
    <w:rPr>
      <w:rFonts w:ascii="Garamond" w:hAnsi="Garamond" w:cs="Symbol"/>
      <w:sz w:val="22"/>
      <w:szCs w:val="22"/>
    </w:rPr>
  </w:style>
  <w:style w:type="character" w:styleId="ListLabel54" w:customStyle="1">
    <w:name w:val="ListLabel 54"/>
    <w:qFormat/>
    <w:rPr>
      <w:i/>
      <w:iCs/>
    </w:rPr>
  </w:style>
  <w:style w:type="character" w:styleId="ListLabel55">
    <w:name w:val="ListLabel 55"/>
    <w:qFormat/>
    <w:rPr>
      <w:rFonts w:ascii="Times New Roman" w:hAnsi="Times New Roman" w:cs="Symbol"/>
      <w:sz w:val="22"/>
      <w:lang w:val="fr-FR"/>
    </w:rPr>
  </w:style>
  <w:style w:type="character" w:styleId="ListLabel56">
    <w:name w:val="ListLabel 56"/>
    <w:qFormat/>
    <w:rPr>
      <w:rFonts w:ascii="Times New Roman" w:hAnsi="Times New Roman" w:cs="Symbol"/>
      <w:sz w:val="22"/>
      <w:szCs w:val="22"/>
    </w:rPr>
  </w:style>
  <w:style w:type="character" w:styleId="ListLabel57">
    <w:name w:val="ListLabel 57"/>
    <w:qFormat/>
    <w:rPr>
      <w:rFonts w:ascii="Times New Roman" w:hAnsi="Times New Roman" w:cs="Symbol"/>
      <w:sz w:val="22"/>
      <w:lang w:val="fr-FR"/>
    </w:rPr>
  </w:style>
  <w:style w:type="character" w:styleId="ListLabel58">
    <w:name w:val="ListLabel 58"/>
    <w:qFormat/>
    <w:rPr>
      <w:rFonts w:ascii="Times New Roman" w:hAnsi="Times New Roman" w:cs="Symbol"/>
      <w:sz w:val="22"/>
      <w:szCs w:val="22"/>
    </w:rPr>
  </w:style>
  <w:style w:type="character" w:styleId="ListLabel65">
    <w:name w:val="ListLabel 65"/>
    <w:qFormat/>
    <w:rPr>
      <w:b w:val="false"/>
      <w:i/>
      <w:iCs/>
      <w:caps w:val="false"/>
      <w:smallCaps w:val="false"/>
      <w:color w:val="0069D6"/>
      <w:spacing w:val="0"/>
      <w:sz w:val="22"/>
      <w:szCs w:val="22"/>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unhideWhenUsed/>
    <w:rsid w:val="00c91133"/>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itre21" w:customStyle="1">
    <w:name w:val="Titre 21"/>
    <w:basedOn w:val="Normal"/>
    <w:next w:val="Normal"/>
    <w:link w:val="Titre2Car"/>
    <w:qFormat/>
    <w:rsid w:val="00c91133"/>
    <w:pPr>
      <w:keepNext w:val="true"/>
      <w:spacing w:before="240" w:after="60"/>
    </w:pPr>
    <w:rPr>
      <w:rFonts w:ascii="Arial" w:hAnsi="Arial" w:cs="Arial"/>
      <w:b/>
      <w:i/>
      <w:sz w:val="28"/>
    </w:rPr>
  </w:style>
  <w:style w:type="paragraph" w:styleId="Titre31" w:customStyle="1">
    <w:name w:val="Titre 31"/>
    <w:basedOn w:val="Normal"/>
    <w:next w:val="Normal"/>
    <w:qFormat/>
    <w:rsid w:val="00c91133"/>
    <w:pPr>
      <w:keepNext w:val="true"/>
      <w:spacing w:before="240" w:after="60"/>
    </w:pPr>
    <w:rPr>
      <w:rFonts w:ascii="Arial" w:hAnsi="Arial" w:cs="Arial"/>
      <w:b/>
      <w:sz w:val="26"/>
    </w:rPr>
  </w:style>
  <w:style w:type="paragraph" w:styleId="WWStandard" w:customStyle="1">
    <w:name w:val="WW-Standard"/>
    <w:qFormat/>
    <w:rsid w:val="00c91133"/>
    <w:pPr>
      <w:widowControl w:val="false"/>
      <w:suppressAutoHyphens w:val="true"/>
      <w:bidi w:val="0"/>
      <w:jc w:val="left"/>
      <w:textAlignment w:val="baseline"/>
    </w:pPr>
    <w:rPr>
      <w:rFonts w:ascii="Times" w:hAnsi="Times" w:eastAsia="Times New Roman" w:cs="Times"/>
      <w:color w:val="auto"/>
      <w:kern w:val="0"/>
      <w:sz w:val="24"/>
      <w:szCs w:val="20"/>
      <w:lang w:val="fr-FR" w:eastAsia="zh-CN" w:bidi="ar-SA"/>
    </w:rPr>
  </w:style>
  <w:style w:type="paragraph" w:styleId="NormalWeb">
    <w:name w:val="Normal (Web)"/>
    <w:basedOn w:val="Normal"/>
    <w:uiPriority w:val="99"/>
    <w:qFormat/>
    <w:rsid w:val="00c91133"/>
    <w:pPr>
      <w:spacing w:before="100" w:after="100"/>
    </w:pPr>
    <w:rPr/>
  </w:style>
  <w:style w:type="paragraph" w:styleId="Pieddepage">
    <w:name w:val="Footer"/>
    <w:basedOn w:val="Normal"/>
    <w:link w:val="PieddepageCar"/>
    <w:rsid w:val="00c91133"/>
    <w:pPr>
      <w:suppressLineNumbers/>
      <w:tabs>
        <w:tab w:val="clear" w:pos="708"/>
        <w:tab w:val="center" w:pos="4320" w:leader="none"/>
        <w:tab w:val="right" w:pos="8640" w:leader="none"/>
      </w:tabs>
    </w:pPr>
    <w:rPr/>
  </w:style>
  <w:style w:type="paragraph" w:styleId="Annotationtext">
    <w:name w:val="annotation text"/>
    <w:basedOn w:val="Normal"/>
    <w:link w:val="CommentaireCar"/>
    <w:uiPriority w:val="99"/>
    <w:semiHidden/>
    <w:unhideWhenUsed/>
    <w:qFormat/>
    <w:rsid w:val="00c91133"/>
    <w:pPr/>
    <w:rPr>
      <w:sz w:val="22"/>
    </w:rPr>
  </w:style>
  <w:style w:type="paragraph" w:styleId="BalloonText">
    <w:name w:val="Balloon Text"/>
    <w:basedOn w:val="Normal"/>
    <w:link w:val="TextedebullesCar"/>
    <w:uiPriority w:val="99"/>
    <w:semiHidden/>
    <w:unhideWhenUsed/>
    <w:qFormat/>
    <w:rsid w:val="00c91133"/>
    <w:pPr/>
    <w:rPr>
      <w:rFonts w:ascii="Segoe UI" w:hAnsi="Segoe UI" w:cs="Segoe UI"/>
      <w:sz w:val="18"/>
      <w:szCs w:val="18"/>
    </w:rPr>
  </w:style>
  <w:style w:type="paragraph" w:styleId="Contenudecadre" w:customStyle="1">
    <w:name w:val="Contenu de cadre"/>
    <w:basedOn w:val="Normal"/>
    <w:qFormat/>
    <w:pPr/>
    <w:rPr/>
  </w:style>
  <w:style w:type="paragraph" w:styleId="Contenudetableau" w:customStyle="1">
    <w:name w:val="Contenu de tableau"/>
    <w:basedOn w:val="Normal"/>
    <w:qFormat/>
    <w:pPr>
      <w:suppressLineNumbers/>
    </w:pPr>
    <w:rPr/>
  </w:style>
  <w:style w:type="paragraph" w:styleId="Annotationsubject">
    <w:name w:val="annotation subject"/>
    <w:basedOn w:val="Annotationtext"/>
    <w:link w:val="ObjetducommentaireCar"/>
    <w:uiPriority w:val="99"/>
    <w:semiHidden/>
    <w:unhideWhenUsed/>
    <w:qFormat/>
    <w:rsid w:val="00433ff2"/>
    <w:pPr>
      <w:overflowPunct w:val="false"/>
      <w:textAlignment w:val="baseline"/>
    </w:pPr>
    <w:rPr>
      <w:rFonts w:eastAsia="Times New Roman"/>
      <w:b/>
      <w:bCs/>
      <w:sz w:val="20"/>
      <w:szCs w:val="20"/>
    </w:rPr>
  </w:style>
  <w:style w:type="paragraph" w:styleId="ListParagraph">
    <w:name w:val="List Paragraph"/>
    <w:basedOn w:val="Normal"/>
    <w:uiPriority w:val="34"/>
    <w:qFormat/>
    <w:rsid w:val="00677ef9"/>
    <w:pPr>
      <w:spacing w:before="0" w:after="0"/>
      <w:ind w:left="720" w:hanging="0"/>
      <w:contextualSpacing/>
    </w:pPr>
    <w:rPr/>
  </w:style>
  <w:style w:type="paragraph" w:styleId="Citations" w:customStyle="1">
    <w:name w:val="Citations"/>
    <w:basedOn w:val="Normal"/>
    <w:qFormat/>
    <w:pPr>
      <w:spacing w:before="0" w:after="283"/>
      <w:ind w:left="567" w:right="850" w:hanging="0"/>
      <w:jc w:val="both"/>
    </w:pPr>
    <w:rPr>
      <w:rFonts w:ascii="Times New Roman" w:hAnsi="Times New Roman"/>
      <w:i/>
      <w:iCs/>
      <w:sz w:val="22"/>
    </w:rPr>
  </w:style>
  <w:style w:type="paragraph" w:styleId="Default" w:customStyle="1">
    <w:name w:val="Default"/>
    <w:qFormat/>
    <w:rsid w:val="007f3469"/>
    <w:pPr>
      <w:widowControl/>
      <w:bidi w:val="0"/>
      <w:jc w:val="left"/>
    </w:pPr>
    <w:rPr>
      <w:rFonts w:ascii="EUAlbertina" w:hAnsi="EUAlbertina" w:eastAsia="Times New Roman" w:cs="EUAlbertina"/>
      <w:color w:val="000000"/>
      <w:kern w:val="0"/>
      <w:sz w:val="24"/>
      <w:szCs w:val="24"/>
      <w:lang w:val="fr-FR" w:eastAsia="fr-FR" w:bidi="ar-SA"/>
    </w:rPr>
  </w:style>
  <w:style w:type="paragraph" w:styleId="Quote">
    <w:name w:val="Quote"/>
    <w:basedOn w:val="Normal"/>
    <w:next w:val="Normal"/>
    <w:link w:val="CitationCar"/>
    <w:uiPriority w:val="29"/>
    <w:qFormat/>
    <w:rsid w:val="001c4557"/>
    <w:pPr>
      <w:spacing w:before="200" w:after="160"/>
      <w:ind w:left="864" w:right="864" w:hanging="0"/>
      <w:jc w:val="center"/>
    </w:pPr>
    <w:rPr>
      <w:i/>
      <w:iCs/>
      <w:color w:val="404040" w:themeColor="text1" w:themeTint="bf"/>
    </w:rPr>
  </w:style>
  <w:style w:type="paragraph" w:styleId="Titre10" w:customStyle="1">
    <w:name w:val="Titre 10"/>
    <w:basedOn w:val="Titreprincipal"/>
    <w:qFormat/>
    <w:pPr>
      <w:spacing w:before="60" w:after="60"/>
      <w:outlineLvl w:val="8"/>
    </w:pPr>
    <w:rPr>
      <w:b/>
      <w:bCs/>
      <w:sz w:val="21"/>
      <w:szCs w:val="21"/>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numbering" w:styleId="NumrotationIVX">
    <w:name w:val="Numérotation IVX"/>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_blank" TargetMode="External"/><Relationship Id="rId3" Type="http://schemas.openxmlformats.org/officeDocument/2006/relationships/hyperlink" Target="_blank" TargetMode="External"/><Relationship Id="rId4" Type="http://schemas.openxmlformats.org/officeDocument/2006/relationships/hyperlink" Target="_blank" TargetMode="External"/><Relationship Id="rId5" Type="http://schemas.openxmlformats.org/officeDocument/2006/relationships/hyperlink" Target="_blank" TargetMode="External"/><Relationship Id="rId6" Type="http://schemas.openxmlformats.org/officeDocument/2006/relationships/hyperlink" Target="_blank" TargetMode="External"/><Relationship Id="rId7" Type="http://schemas.openxmlformats.org/officeDocument/2006/relationships/hyperlink" Target="_blank" TargetMode="External"/><Relationship Id="rId8" Type="http://schemas.openxmlformats.org/officeDocument/2006/relationships/hyperlink" Target="_blank" TargetMode="External"/><Relationship Id="rId9" Type="http://schemas.openxmlformats.org/officeDocument/2006/relationships/hyperlink" Target="_blank" TargetMode="External"/><Relationship Id="rId10" Type="http://schemas.openxmlformats.org/officeDocument/2006/relationships/hyperlink" Target="_blank" TargetMode="External"/><Relationship Id="rId11" Type="http://schemas.openxmlformats.org/officeDocument/2006/relationships/hyperlink" Target="_blank" TargetMode="External"/><Relationship Id="rId12" Type="http://schemas.openxmlformats.org/officeDocument/2006/relationships/hyperlink" Target="_blank" TargetMode="External"/><Relationship Id="rId13" Type="http://schemas.openxmlformats.org/officeDocument/2006/relationships/hyperlink" Target="_blank" TargetMode="External"/><Relationship Id="rId14" Type="http://schemas.openxmlformats.org/officeDocument/2006/relationships/hyperlink" Target="_blank" TargetMode="External"/><Relationship Id="rId15" Type="http://schemas.openxmlformats.org/officeDocument/2006/relationships/hyperlink" Target="_blank" TargetMode="External"/><Relationship Id="rId16" Type="http://schemas.openxmlformats.org/officeDocument/2006/relationships/footer" Target="footer1.xml"/><Relationship Id="rId17" Type="http://schemas.openxmlformats.org/officeDocument/2006/relationships/comments" Target="comments.xml"/><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Relationship Id="rId22" Type="http://schemas.openxmlformats.org/officeDocument/2006/relationships/customXml" Target="../customXml/item1.xml"/><Relationship Id="rId23" Type="http://schemas.openxmlformats.org/officeDocument/2006/relationships/customXml" Target="../customXml/item2.xml"/><Relationship Id="rId24"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3BB10-3A61-4E4C-A101-7F1100A36180}">
  <ds:schemaRefs>
    <ds:schemaRef ds:uri="http://schemas.microsoft.com/office/2006/documentManagement/types"/>
    <ds:schemaRef ds:uri="http://www.w3.org/XML/1998/namespace"/>
    <ds:schemaRef ds:uri="http://purl.org/dc/elements/1.1/"/>
    <ds:schemaRef ds:uri="b4262638-f4fa-4d75-95c5-588c84f8b7c3"/>
    <ds:schemaRef ds:uri="http://purl.org/dc/terms/"/>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77cce720-86f9-48c1-9072-e3cd1d397f39"/>
  </ds:schemaRefs>
</ds:datastoreItem>
</file>

<file path=customXml/itemProps2.xml><?xml version="1.0" encoding="utf-8"?>
<ds:datastoreItem xmlns:ds="http://schemas.openxmlformats.org/officeDocument/2006/customXml" ds:itemID="{AAE6F774-B9C5-4AFA-BF35-32F03F05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62638-f4fa-4d75-95c5-588c84f8b7c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A6368-16BF-4536-9223-A61385591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6CCF01E7.dotm</Template>
  <TotalTime>19</TotalTime>
  <Application>LibreOffice/6.2.7.1$MacOSX_X86_64 LibreOffice_project/23edc44b61b830b7d749943e020e96f5a7df63bf</Application>
  <Pages>12</Pages>
  <Words>5584</Words>
  <Characters>29472</Characters>
  <CharactersWithSpaces>35204</CharactersWithSpaces>
  <Paragraphs>180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2019-07-31T14:43:00Z</dcterms:created>
  <dc:creator>Gérard SADIK</dc:creator>
  <dc:description/>
  <dc:language>fr-FR</dc:language>
  <cp:lastModifiedBy/>
  <dcterms:modified xsi:type="dcterms:W3CDTF">2020-09-25T08:39:46Z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at?gories">
    <vt:lpwstr/>
  </property>
  <property fmtid="{D5CDD505-2E9C-101B-9397-08002B2CF9AE}" pid="4" name="Company">
    <vt:lpwstr>Hewlett-Packard Company</vt:lpwstr>
  </property>
  <property fmtid="{D5CDD505-2E9C-101B-9397-08002B2CF9AE}" pid="5" name="ContentTypeId">
    <vt:lpwstr>0x010100AE6988847E691C4E9FF21FD57989272F</vt:lpwstr>
  </property>
  <property fmtid="{D5CDD505-2E9C-101B-9397-08002B2CF9AE}" pid="6" name="DocSecurity">
    <vt:i4>0</vt:i4>
  </property>
  <property fmtid="{D5CDD505-2E9C-101B-9397-08002B2CF9AE}" pid="7" name="HyperlinksChanged">
    <vt:bool>0</vt:bool>
  </property>
  <property fmtid="{D5CDD505-2E9C-101B-9397-08002B2CF9AE}" pid="8" name="LinksUpToDate">
    <vt:bool>0</vt:bool>
  </property>
  <property fmtid="{D5CDD505-2E9C-101B-9397-08002B2CF9AE}" pid="9" name="ScaleCrop">
    <vt:bool>0</vt:bool>
  </property>
  <property fmtid="{D5CDD505-2E9C-101B-9397-08002B2CF9AE}" pid="10" name="ShareDoc">
    <vt:bool>0</vt:bool>
  </property>
</Properties>
</file>